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07705" w14:textId="5091232E" w:rsidR="00446AF1" w:rsidRPr="009A0325" w:rsidRDefault="004A1EE6" w:rsidP="00446AF1">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sidR="004D4B33">
        <w:rPr>
          <w:rFonts w:ascii="Arial" w:hAnsi="Arial" w:cs="Arial"/>
          <w:b/>
          <w:bCs/>
          <w:sz w:val="28"/>
        </w:rPr>
        <w:t xml:space="preserve">#101       </w:t>
      </w:r>
      <w:r w:rsidR="00446AF1">
        <w:rPr>
          <w:rFonts w:ascii="Arial" w:eastAsia="MS Mincho" w:hAnsi="Arial" w:cs="Arial"/>
          <w:b/>
          <w:bCs/>
          <w:sz w:val="28"/>
          <w:lang w:eastAsia="ja-JP"/>
        </w:rPr>
        <w:t xml:space="preserve">                         </w:t>
      </w:r>
      <w:r w:rsidR="001510D3">
        <w:rPr>
          <w:rFonts w:ascii="Arial" w:eastAsia="MS Mincho" w:hAnsi="Arial" w:cs="Arial"/>
          <w:b/>
          <w:bCs/>
          <w:sz w:val="28"/>
          <w:lang w:eastAsia="ja-JP"/>
        </w:rPr>
        <w:t xml:space="preserve">                             </w:t>
      </w:r>
      <w:r w:rsidR="00446AF1" w:rsidRPr="00E668BA">
        <w:rPr>
          <w:rFonts w:ascii="Arial" w:hAnsi="Arial" w:cs="Arial"/>
          <w:b/>
          <w:bCs/>
          <w:sz w:val="28"/>
        </w:rPr>
        <w:t>R1-</w:t>
      </w:r>
      <w:r w:rsidR="00E668BA" w:rsidRPr="00E668BA">
        <w:rPr>
          <w:rFonts w:ascii="Arial" w:hAnsi="Arial" w:cs="Arial"/>
          <w:b/>
          <w:bCs/>
          <w:color w:val="000000" w:themeColor="text1"/>
          <w:sz w:val="28"/>
        </w:rPr>
        <w:t>2003680</w:t>
      </w:r>
    </w:p>
    <w:p w14:paraId="28107706" w14:textId="151F483D" w:rsidR="004A5D8C" w:rsidRPr="009513AC" w:rsidRDefault="004D4B33" w:rsidP="00446AF1">
      <w:pPr>
        <w:tabs>
          <w:tab w:val="center" w:pos="4536"/>
          <w:tab w:val="right" w:pos="9072"/>
        </w:tabs>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25th – June 5</w:t>
      </w:r>
      <w:r w:rsidRPr="004D4B33">
        <w:rPr>
          <w:rFonts w:ascii="Arial" w:eastAsia="MS Mincho" w:hAnsi="Arial" w:cs="Arial"/>
          <w:b/>
          <w:bCs/>
          <w:sz w:val="28"/>
          <w:lang w:eastAsia="ja-JP"/>
        </w:rPr>
        <w:t>th, 2020</w:t>
      </w:r>
    </w:p>
    <w:p w14:paraId="28107707" w14:textId="77777777"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en-US"/>
        </w:rPr>
        <mc:AlternateContent>
          <mc:Choice Requires="wps">
            <w:drawing>
              <wp:anchor distT="0" distB="0" distL="114300" distR="114300" simplePos="0" relativeHeight="251654144" behindDoc="0" locked="1" layoutInCell="1" allowOverlap="1" wp14:anchorId="28107803" wp14:editId="2810780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840A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8107708" w14:textId="4A7E0463"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2573FD" w:rsidRPr="002573FD">
        <w:rPr>
          <w:rFonts w:ascii="Arial" w:eastAsia="PMingLiU" w:hAnsi="Arial"/>
          <w:color w:val="000000"/>
          <w:sz w:val="24"/>
          <w:lang w:eastAsia="zh-TW"/>
        </w:rPr>
        <w:t>8</w:t>
      </w:r>
      <w:r w:rsidR="006C2961" w:rsidRPr="002573FD">
        <w:rPr>
          <w:rFonts w:ascii="Arial" w:eastAsia="PMingLiU" w:hAnsi="Arial" w:hint="eastAsia"/>
          <w:color w:val="000000"/>
          <w:sz w:val="24"/>
          <w:lang w:eastAsia="zh-TW"/>
        </w:rPr>
        <w:t>.</w:t>
      </w:r>
      <w:r w:rsidR="002573FD" w:rsidRPr="002573FD">
        <w:rPr>
          <w:rFonts w:ascii="Arial" w:eastAsia="PMingLiU" w:hAnsi="Arial"/>
          <w:color w:val="000000"/>
          <w:sz w:val="24"/>
          <w:lang w:eastAsia="zh-TW"/>
        </w:rPr>
        <w:t>1</w:t>
      </w:r>
      <w:r w:rsidR="00D76FD2" w:rsidRPr="002573FD">
        <w:rPr>
          <w:rFonts w:ascii="Arial" w:eastAsia="PMingLiU" w:hAnsi="Arial"/>
          <w:color w:val="000000"/>
          <w:sz w:val="24"/>
          <w:lang w:eastAsia="zh-TW"/>
        </w:rPr>
        <w:t>.</w:t>
      </w:r>
      <w:r w:rsidR="002573FD" w:rsidRPr="002573FD">
        <w:rPr>
          <w:rFonts w:ascii="Arial" w:eastAsia="PMingLiU" w:hAnsi="Arial"/>
          <w:color w:val="000000"/>
          <w:sz w:val="24"/>
          <w:lang w:eastAsia="zh-TW"/>
        </w:rPr>
        <w:t>2</w:t>
      </w:r>
    </w:p>
    <w:p w14:paraId="28107709" w14:textId="77777777"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proofErr w:type="spellStart"/>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proofErr w:type="spellEnd"/>
      <w:r w:rsidR="00E509D2">
        <w:rPr>
          <w:rFonts w:ascii="Arial" w:eastAsia="PMingLiU" w:hAnsi="Arial" w:hint="eastAsia"/>
          <w:sz w:val="24"/>
          <w:lang w:eastAsia="zh-TW"/>
        </w:rPr>
        <w:t xml:space="preserve"> Inc.</w:t>
      </w:r>
    </w:p>
    <w:p w14:paraId="2810770A" w14:textId="3D2BCD87"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573FD" w:rsidRPr="002573FD">
        <w:rPr>
          <w:rFonts w:ascii="Arial" w:hAnsi="Arial"/>
          <w:sz w:val="24"/>
        </w:rPr>
        <w:t>Channel access mechanism</w:t>
      </w:r>
      <w:r w:rsidR="002573FD">
        <w:rPr>
          <w:rFonts w:ascii="Arial" w:hAnsi="Arial"/>
          <w:sz w:val="24"/>
        </w:rPr>
        <w:t xml:space="preserve"> for</w:t>
      </w:r>
      <w:r w:rsidR="00121BF3" w:rsidRPr="00121BF3">
        <w:rPr>
          <w:rFonts w:ascii="Arial" w:hAnsi="Arial"/>
          <w:sz w:val="24"/>
        </w:rPr>
        <w:t xml:space="preserve"> NR from 52.6 GHz to 71 GHz</w:t>
      </w:r>
    </w:p>
    <w:p w14:paraId="2810770B" w14:textId="77777777"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14:paraId="2810770C" w14:textId="77777777" w:rsidR="00D70D4E" w:rsidRDefault="00D42F94" w:rsidP="002C2D95">
      <w:pPr>
        <w:pStyle w:val="Heading1"/>
        <w:jc w:val="both"/>
      </w:pPr>
      <w:r>
        <w:t>Introduction</w:t>
      </w:r>
    </w:p>
    <w:p w14:paraId="4417CBE1" w14:textId="44107EE4" w:rsidR="00C17E06" w:rsidRDefault="00C17E06" w:rsidP="009907AF">
      <w:pPr>
        <w:jc w:val="both"/>
      </w:pPr>
      <w:r>
        <w:t xml:space="preserve">In this submission we summarize the regulatory landscape in </w:t>
      </w:r>
      <w:r w:rsidR="0010629B">
        <w:rPr>
          <w:lang w:val="en-GB"/>
        </w:rPr>
        <w:t>above 57GHz unlicensed spectrum</w:t>
      </w:r>
      <w:r w:rsidR="0010629B">
        <w:t xml:space="preserve"> </w:t>
      </w:r>
      <w:r>
        <w:t xml:space="preserve">bands, with particular focus of regulations pertaining to CEPT and the FCC. We observe that the current status of </w:t>
      </w:r>
      <w:r w:rsidR="004C0A78">
        <w:t xml:space="preserve">unlicensed </w:t>
      </w:r>
      <w:r>
        <w:t xml:space="preserve">mm-wave regulations in these regions imposes a limit </w:t>
      </w:r>
      <w:r w:rsidR="00680405">
        <w:t>on t</w:t>
      </w:r>
      <w:r>
        <w:t>he type and location of devices that can currently be brought to market.</w:t>
      </w:r>
    </w:p>
    <w:p w14:paraId="3B16D9CB" w14:textId="47E0D681" w:rsidR="009907AF" w:rsidRDefault="00C17E06" w:rsidP="009907AF">
      <w:pPr>
        <w:jc w:val="both"/>
      </w:pPr>
      <w:r>
        <w:t xml:space="preserve">With this is mind we </w:t>
      </w:r>
      <w:r w:rsidR="004C0A78">
        <w:t>look to</w:t>
      </w:r>
      <w:r>
        <w:t xml:space="preserve"> the previous studies undertaken by 3GPP </w:t>
      </w:r>
      <w:r w:rsidR="004C0A78">
        <w:t>and summarized any output of</w:t>
      </w:r>
      <w:r>
        <w:t xml:space="preserve"> 38.805, 38.</w:t>
      </w:r>
      <w:r w:rsidR="004C0A78">
        <w:t xml:space="preserve">913, 38.900 and </w:t>
      </w:r>
      <w:r>
        <w:t>38</w:t>
      </w:r>
      <w:r w:rsidR="004C0A78">
        <w:t xml:space="preserve">.807 that may be relevant to </w:t>
      </w:r>
      <w:r w:rsidR="0010629B">
        <w:rPr>
          <w:lang w:val="en-GB"/>
        </w:rPr>
        <w:t>above 57GHz unlicensed spectrum</w:t>
      </w:r>
      <w:r w:rsidR="0010629B">
        <w:t xml:space="preserve"> </w:t>
      </w:r>
      <w:r w:rsidR="004C0A78">
        <w:t>under the</w:t>
      </w:r>
      <w:r w:rsidR="00680405">
        <w:t>se</w:t>
      </w:r>
      <w:r w:rsidR="004C0A78">
        <w:t xml:space="preserve"> current regulatory constraints.</w:t>
      </w:r>
    </w:p>
    <w:p w14:paraId="45DF0B7E" w14:textId="22FB27EB" w:rsidR="00A35DF7" w:rsidRDefault="00A35DF7" w:rsidP="00A35DF7">
      <w:pPr>
        <w:pStyle w:val="Heading1"/>
        <w:jc w:val="both"/>
      </w:pPr>
      <w:r>
        <w:t>A short introduction of regulation, both ETSI and FCC, that are most relevant to defining the simulation assumptions</w:t>
      </w:r>
    </w:p>
    <w:p w14:paraId="2D57ADA2" w14:textId="4903EE2A" w:rsidR="004C0A78" w:rsidRDefault="00E958C2" w:rsidP="00E958C2">
      <w:pPr>
        <w:rPr>
          <w:lang w:val="en-GB"/>
        </w:rPr>
      </w:pPr>
      <w:r>
        <w:rPr>
          <w:lang w:val="en-GB"/>
        </w:rPr>
        <w:t xml:space="preserve">Currently only one ETSI specification </w:t>
      </w:r>
      <w:r>
        <w:rPr>
          <w:lang w:val="en-GB"/>
        </w:rPr>
        <w:fldChar w:fldCharType="begin"/>
      </w:r>
      <w:r>
        <w:rPr>
          <w:lang w:val="en-GB"/>
        </w:rPr>
        <w:instrText xml:space="preserve"> REF _Ref39945634 \w \h </w:instrText>
      </w:r>
      <w:r>
        <w:rPr>
          <w:lang w:val="en-GB"/>
        </w:rPr>
      </w:r>
      <w:r>
        <w:rPr>
          <w:lang w:val="en-GB"/>
        </w:rPr>
        <w:fldChar w:fldCharType="separate"/>
      </w:r>
      <w:r w:rsidR="009A1370">
        <w:rPr>
          <w:lang w:val="en-GB"/>
        </w:rPr>
        <w:t>[1]</w:t>
      </w:r>
      <w:r>
        <w:rPr>
          <w:lang w:val="en-GB"/>
        </w:rPr>
        <w:fldChar w:fldCharType="end"/>
      </w:r>
      <w:r>
        <w:rPr>
          <w:lang w:val="en-GB"/>
        </w:rPr>
        <w:t xml:space="preserve"> is mature enough to be considered available that covers </w:t>
      </w:r>
      <w:r w:rsidR="0010629B">
        <w:rPr>
          <w:lang w:val="en-GB"/>
        </w:rPr>
        <w:t>above 57</w:t>
      </w:r>
      <w:r>
        <w:rPr>
          <w:lang w:val="en-GB"/>
        </w:rPr>
        <w:t>GHz</w:t>
      </w:r>
      <w:r w:rsidR="0010629B">
        <w:rPr>
          <w:lang w:val="en-GB"/>
        </w:rPr>
        <w:t xml:space="preserve"> unlicensed</w:t>
      </w:r>
      <w:r>
        <w:rPr>
          <w:lang w:val="en-GB"/>
        </w:rPr>
        <w:t xml:space="preserve"> spectrum for wideband data transmission systems. On top of this it only covers low power scenarios associated with the c1 band as defined in annex 3 of </w:t>
      </w:r>
      <w:r>
        <w:rPr>
          <w:lang w:val="en-GB"/>
        </w:rPr>
        <w:fldChar w:fldCharType="begin"/>
      </w:r>
      <w:r>
        <w:rPr>
          <w:lang w:val="en-GB"/>
        </w:rPr>
        <w:instrText xml:space="preserve"> REF _Ref39987947 \w \h </w:instrText>
      </w:r>
      <w:r>
        <w:rPr>
          <w:lang w:val="en-GB"/>
        </w:rPr>
      </w:r>
      <w:r>
        <w:rPr>
          <w:lang w:val="en-GB"/>
        </w:rPr>
        <w:fldChar w:fldCharType="separate"/>
      </w:r>
      <w:r w:rsidR="009A1370">
        <w:rPr>
          <w:lang w:val="en-GB"/>
        </w:rPr>
        <w:t>[2]</w:t>
      </w:r>
      <w:r>
        <w:rPr>
          <w:lang w:val="en-GB"/>
        </w:rPr>
        <w:fldChar w:fldCharType="end"/>
      </w:r>
      <w:r>
        <w:rPr>
          <w:lang w:val="en-GB"/>
        </w:rPr>
        <w:t xml:space="preserve"> or band 75 as defined in </w:t>
      </w:r>
      <w:r w:rsidR="009A1370">
        <w:rPr>
          <w:lang w:val="en-GB"/>
        </w:rPr>
        <w:fldChar w:fldCharType="begin"/>
      </w:r>
      <w:r w:rsidR="009A1370">
        <w:rPr>
          <w:lang w:val="en-GB"/>
        </w:rPr>
        <w:instrText xml:space="preserve"> REF _Ref40432065 \w \h </w:instrText>
      </w:r>
      <w:r w:rsidR="009A1370">
        <w:rPr>
          <w:lang w:val="en-GB"/>
        </w:rPr>
      </w:r>
      <w:r w:rsidR="009A1370">
        <w:rPr>
          <w:lang w:val="en-GB"/>
        </w:rPr>
        <w:fldChar w:fldCharType="separate"/>
      </w:r>
      <w:r w:rsidR="009A1370">
        <w:rPr>
          <w:lang w:val="en-GB"/>
        </w:rPr>
        <w:t>[3]</w:t>
      </w:r>
      <w:r w:rsidR="009A1370">
        <w:rPr>
          <w:lang w:val="en-GB"/>
        </w:rPr>
        <w:fldChar w:fldCharType="end"/>
      </w:r>
      <w:r>
        <w:rPr>
          <w:lang w:val="en-GB"/>
        </w:rPr>
        <w:t xml:space="preserve"> for wideband data transmission systems. Another ETSI BRAN work item for wideband data transmission systems was approved in the BRAN#104 meeting that will eventually result in a second specification </w:t>
      </w:r>
      <w:r w:rsidR="00680405">
        <w:rPr>
          <w:lang w:val="en-GB"/>
        </w:rPr>
        <w:fldChar w:fldCharType="begin"/>
      </w:r>
      <w:r w:rsidR="00680405">
        <w:rPr>
          <w:lang w:val="en-GB"/>
        </w:rPr>
        <w:instrText xml:space="preserve"> REF _Ref40428994 \w \h </w:instrText>
      </w:r>
      <w:r w:rsidR="00680405">
        <w:rPr>
          <w:lang w:val="en-GB"/>
        </w:rPr>
      </w:r>
      <w:r w:rsidR="00680405">
        <w:rPr>
          <w:lang w:val="en-GB"/>
        </w:rPr>
        <w:fldChar w:fldCharType="separate"/>
      </w:r>
      <w:r w:rsidR="009A1370">
        <w:rPr>
          <w:lang w:val="en-GB"/>
        </w:rPr>
        <w:t>[4]</w:t>
      </w:r>
      <w:r w:rsidR="00680405">
        <w:rPr>
          <w:lang w:val="en-GB"/>
        </w:rPr>
        <w:fldChar w:fldCharType="end"/>
      </w:r>
      <w:r w:rsidR="00680405">
        <w:rPr>
          <w:lang w:val="en-GB"/>
        </w:rPr>
        <w:t xml:space="preserve"> </w:t>
      </w:r>
      <w:r>
        <w:rPr>
          <w:lang w:val="en-GB"/>
        </w:rPr>
        <w:t xml:space="preserve">covering the c2 and c3 bands defined in in annex 3 of </w:t>
      </w:r>
      <w:r>
        <w:rPr>
          <w:lang w:val="en-GB"/>
        </w:rPr>
        <w:fldChar w:fldCharType="begin"/>
      </w:r>
      <w:r>
        <w:rPr>
          <w:lang w:val="en-GB"/>
        </w:rPr>
        <w:instrText xml:space="preserve"> REF _Ref39987947 \w \h </w:instrText>
      </w:r>
      <w:r>
        <w:rPr>
          <w:lang w:val="en-GB"/>
        </w:rPr>
      </w:r>
      <w:r>
        <w:rPr>
          <w:lang w:val="en-GB"/>
        </w:rPr>
        <w:fldChar w:fldCharType="separate"/>
      </w:r>
      <w:r w:rsidR="009A1370">
        <w:rPr>
          <w:lang w:val="en-GB"/>
        </w:rPr>
        <w:t>[2]</w:t>
      </w:r>
      <w:r>
        <w:rPr>
          <w:lang w:val="en-GB"/>
        </w:rPr>
        <w:fldChar w:fldCharType="end"/>
      </w:r>
      <w:r>
        <w:rPr>
          <w:lang w:val="en-GB"/>
        </w:rPr>
        <w:t xml:space="preserve"> or bands 75a and 75b as defined in </w:t>
      </w:r>
      <w:r w:rsidR="009A1370">
        <w:rPr>
          <w:lang w:val="en-GB"/>
        </w:rPr>
        <w:fldChar w:fldCharType="begin"/>
      </w:r>
      <w:r w:rsidR="009A1370">
        <w:rPr>
          <w:lang w:val="en-GB"/>
        </w:rPr>
        <w:instrText xml:space="preserve"> REF _Ref40432065 \w \h </w:instrText>
      </w:r>
      <w:r w:rsidR="009A1370">
        <w:rPr>
          <w:lang w:val="en-GB"/>
        </w:rPr>
      </w:r>
      <w:r w:rsidR="009A1370">
        <w:rPr>
          <w:lang w:val="en-GB"/>
        </w:rPr>
        <w:fldChar w:fldCharType="separate"/>
      </w:r>
      <w:r w:rsidR="009A1370">
        <w:rPr>
          <w:lang w:val="en-GB"/>
        </w:rPr>
        <w:t>[3]</w:t>
      </w:r>
      <w:r w:rsidR="009A1370">
        <w:rPr>
          <w:lang w:val="en-GB"/>
        </w:rPr>
        <w:fldChar w:fldCharType="end"/>
      </w:r>
      <w:r>
        <w:rPr>
          <w:lang w:val="en-GB"/>
        </w:rPr>
        <w:t xml:space="preserve"> for wideband data transmission systems. But </w:t>
      </w:r>
      <w:r w:rsidR="00680405">
        <w:rPr>
          <w:lang w:val="en-GB"/>
        </w:rPr>
        <w:fldChar w:fldCharType="begin"/>
      </w:r>
      <w:r w:rsidR="00680405">
        <w:rPr>
          <w:lang w:val="en-GB"/>
        </w:rPr>
        <w:instrText xml:space="preserve"> REF _Ref40428994 \w \h </w:instrText>
      </w:r>
      <w:r w:rsidR="00680405">
        <w:rPr>
          <w:lang w:val="en-GB"/>
        </w:rPr>
      </w:r>
      <w:r w:rsidR="00680405">
        <w:rPr>
          <w:lang w:val="en-GB"/>
        </w:rPr>
        <w:fldChar w:fldCharType="separate"/>
      </w:r>
      <w:r w:rsidR="009A1370">
        <w:rPr>
          <w:lang w:val="en-GB"/>
        </w:rPr>
        <w:t>[4]</w:t>
      </w:r>
      <w:r w:rsidR="00680405">
        <w:rPr>
          <w:lang w:val="en-GB"/>
        </w:rPr>
        <w:fldChar w:fldCharType="end"/>
      </w:r>
      <w:r w:rsidR="00680405">
        <w:rPr>
          <w:lang w:val="en-GB"/>
        </w:rPr>
        <w:t xml:space="preserve"> </w:t>
      </w:r>
      <w:r>
        <w:rPr>
          <w:lang w:val="en-GB"/>
        </w:rPr>
        <w:t xml:space="preserve">is still in very early draft and not yet in a suitable state to draw meaningful </w:t>
      </w:r>
      <w:r w:rsidR="004C0A78">
        <w:rPr>
          <w:lang w:val="en-GB"/>
        </w:rPr>
        <w:t xml:space="preserve">limits on allowable behaviours. ETSI drafted </w:t>
      </w:r>
      <w:r w:rsidR="004C0A78">
        <w:rPr>
          <w:lang w:val="en-GB"/>
        </w:rPr>
        <w:fldChar w:fldCharType="begin"/>
      </w:r>
      <w:r w:rsidR="004C0A78">
        <w:rPr>
          <w:lang w:val="en-GB"/>
        </w:rPr>
        <w:instrText xml:space="preserve"> REF _Ref39945634 \w \h </w:instrText>
      </w:r>
      <w:r w:rsidR="004C0A78">
        <w:rPr>
          <w:lang w:val="en-GB"/>
        </w:rPr>
      </w:r>
      <w:r w:rsidR="004C0A78">
        <w:rPr>
          <w:lang w:val="en-GB"/>
        </w:rPr>
        <w:fldChar w:fldCharType="separate"/>
      </w:r>
      <w:r w:rsidR="009A1370">
        <w:rPr>
          <w:lang w:val="en-GB"/>
        </w:rPr>
        <w:t>[1]</w:t>
      </w:r>
      <w:r w:rsidR="004C0A78">
        <w:rPr>
          <w:lang w:val="en-GB"/>
        </w:rPr>
        <w:fldChar w:fldCharType="end"/>
      </w:r>
      <w:r w:rsidR="004C0A78">
        <w:rPr>
          <w:lang w:val="en-GB"/>
        </w:rPr>
        <w:t xml:space="preserve"> on the basis of an ETSI TR </w:t>
      </w:r>
      <w:r w:rsidR="0010629B">
        <w:rPr>
          <w:lang w:val="en-GB"/>
        </w:rPr>
        <w:fldChar w:fldCharType="begin"/>
      </w:r>
      <w:r w:rsidR="0010629B">
        <w:rPr>
          <w:lang w:val="en-GB"/>
        </w:rPr>
        <w:instrText xml:space="preserve"> REF _Ref40186310 \w \h </w:instrText>
      </w:r>
      <w:r w:rsidR="0010629B">
        <w:rPr>
          <w:lang w:val="en-GB"/>
        </w:rPr>
      </w:r>
      <w:r w:rsidR="0010629B">
        <w:rPr>
          <w:lang w:val="en-GB"/>
        </w:rPr>
        <w:fldChar w:fldCharType="separate"/>
      </w:r>
      <w:r w:rsidR="009A1370">
        <w:rPr>
          <w:lang w:val="en-GB"/>
        </w:rPr>
        <w:t>[5]</w:t>
      </w:r>
      <w:r w:rsidR="0010629B">
        <w:rPr>
          <w:lang w:val="en-GB"/>
        </w:rPr>
        <w:fldChar w:fldCharType="end"/>
      </w:r>
      <w:r w:rsidR="0010629B">
        <w:rPr>
          <w:lang w:val="en-GB"/>
        </w:rPr>
        <w:t xml:space="preserve">. This TR has since been superseded by a second ETSI TR </w:t>
      </w:r>
      <w:r w:rsidR="009A1370">
        <w:rPr>
          <w:lang w:val="en-GB"/>
        </w:rPr>
        <w:fldChar w:fldCharType="begin"/>
      </w:r>
      <w:r w:rsidR="009A1370">
        <w:rPr>
          <w:lang w:val="en-GB"/>
        </w:rPr>
        <w:instrText xml:space="preserve"> REF _Ref40432332 \w \h </w:instrText>
      </w:r>
      <w:r w:rsidR="009A1370">
        <w:rPr>
          <w:lang w:val="en-GB"/>
        </w:rPr>
      </w:r>
      <w:r w:rsidR="009A1370">
        <w:rPr>
          <w:lang w:val="en-GB"/>
        </w:rPr>
        <w:fldChar w:fldCharType="separate"/>
      </w:r>
      <w:r w:rsidR="009A1370">
        <w:rPr>
          <w:lang w:val="en-GB"/>
        </w:rPr>
        <w:t>[6]</w:t>
      </w:r>
      <w:r w:rsidR="009A1370">
        <w:rPr>
          <w:lang w:val="en-GB"/>
        </w:rPr>
        <w:fldChar w:fldCharType="end"/>
      </w:r>
      <w:r w:rsidR="0010629B">
        <w:rPr>
          <w:lang w:val="en-GB"/>
        </w:rPr>
        <w:t xml:space="preserve"> that in turn has formed the basis for </w:t>
      </w:r>
      <w:r w:rsidR="00680405">
        <w:rPr>
          <w:lang w:val="en-GB"/>
        </w:rPr>
        <w:fldChar w:fldCharType="begin"/>
      </w:r>
      <w:r w:rsidR="00680405">
        <w:rPr>
          <w:lang w:val="en-GB"/>
        </w:rPr>
        <w:instrText xml:space="preserve"> REF _Ref40428994 \w \h </w:instrText>
      </w:r>
      <w:r w:rsidR="00680405">
        <w:rPr>
          <w:lang w:val="en-GB"/>
        </w:rPr>
      </w:r>
      <w:r w:rsidR="00680405">
        <w:rPr>
          <w:lang w:val="en-GB"/>
        </w:rPr>
        <w:fldChar w:fldCharType="separate"/>
      </w:r>
      <w:r w:rsidR="009A1370">
        <w:rPr>
          <w:lang w:val="en-GB"/>
        </w:rPr>
        <w:t>[4]</w:t>
      </w:r>
      <w:r w:rsidR="00680405">
        <w:rPr>
          <w:lang w:val="en-GB"/>
        </w:rPr>
        <w:fldChar w:fldCharType="end"/>
      </w:r>
      <w:r w:rsidR="0010629B">
        <w:rPr>
          <w:lang w:val="en-GB"/>
        </w:rPr>
        <w:t>.</w:t>
      </w:r>
    </w:p>
    <w:p w14:paraId="2185565C" w14:textId="18EA1477" w:rsidR="00E958C2" w:rsidRDefault="00E958C2" w:rsidP="00E958C2">
      <w:pPr>
        <w:rPr>
          <w:lang w:val="en-GB"/>
        </w:rPr>
      </w:pPr>
      <w:r>
        <w:rPr>
          <w:lang w:val="en-GB"/>
        </w:rPr>
        <w:t>As a consequence, at least in Europe, only a sub-set of the</w:t>
      </w:r>
      <w:r w:rsidR="0010629B">
        <w:rPr>
          <w:lang w:val="en-GB"/>
        </w:rPr>
        <w:t xml:space="preserve"> 3GPP proposed</w:t>
      </w:r>
      <w:r>
        <w:rPr>
          <w:lang w:val="en-GB"/>
        </w:rPr>
        <w:t xml:space="preserve"> use-</w:t>
      </w:r>
      <w:r w:rsidR="0010629B">
        <w:rPr>
          <w:lang w:val="en-GB"/>
        </w:rPr>
        <w:t>cases are currently available in unlicensed spectrum above 57</w:t>
      </w:r>
      <w:r>
        <w:rPr>
          <w:lang w:val="en-GB"/>
        </w:rPr>
        <w:t xml:space="preserve">GHz. These uses cases are confined to low power indoor scenarios only, with </w:t>
      </w:r>
      <w:r w:rsidRPr="00B31DA8">
        <w:rPr>
          <w:lang w:val="en-GB"/>
        </w:rPr>
        <w:t xml:space="preserve">Fixed Local Area Network Extension (FLANE) or Fixed Point-to-Point applications </w:t>
      </w:r>
      <w:r>
        <w:rPr>
          <w:lang w:val="en-GB"/>
        </w:rPr>
        <w:t xml:space="preserve">are </w:t>
      </w:r>
      <w:r w:rsidRPr="00B31DA8">
        <w:rPr>
          <w:lang w:val="en-GB"/>
        </w:rPr>
        <w:t>specifically excluded</w:t>
      </w:r>
      <w:r>
        <w:rPr>
          <w:lang w:val="en-GB"/>
        </w:rPr>
        <w:t xml:space="preserve"> in </w:t>
      </w:r>
      <w:r>
        <w:rPr>
          <w:lang w:val="en-GB"/>
        </w:rPr>
        <w:fldChar w:fldCharType="begin"/>
      </w:r>
      <w:r>
        <w:rPr>
          <w:lang w:val="en-GB"/>
        </w:rPr>
        <w:instrText xml:space="preserve"> REF _Ref39945634 \w \h </w:instrText>
      </w:r>
      <w:r>
        <w:rPr>
          <w:lang w:val="en-GB"/>
        </w:rPr>
      </w:r>
      <w:r>
        <w:rPr>
          <w:lang w:val="en-GB"/>
        </w:rPr>
        <w:fldChar w:fldCharType="separate"/>
      </w:r>
      <w:r w:rsidR="009A1370">
        <w:rPr>
          <w:lang w:val="en-GB"/>
        </w:rPr>
        <w:t>[1]</w:t>
      </w:r>
      <w:r>
        <w:rPr>
          <w:lang w:val="en-GB"/>
        </w:rPr>
        <w:fldChar w:fldCharType="end"/>
      </w:r>
      <w:r>
        <w:rPr>
          <w:lang w:val="en-GB"/>
        </w:rPr>
        <w:t xml:space="preserve"> while fixed outdoor is explicitly disallowed in band c1 of </w:t>
      </w:r>
      <w:r>
        <w:rPr>
          <w:lang w:val="en-GB"/>
        </w:rPr>
        <w:fldChar w:fldCharType="begin"/>
      </w:r>
      <w:r>
        <w:rPr>
          <w:lang w:val="en-GB"/>
        </w:rPr>
        <w:instrText xml:space="preserve"> REF _Ref39987947 \w \h </w:instrText>
      </w:r>
      <w:r>
        <w:rPr>
          <w:lang w:val="en-GB"/>
        </w:rPr>
      </w:r>
      <w:r>
        <w:rPr>
          <w:lang w:val="en-GB"/>
        </w:rPr>
        <w:fldChar w:fldCharType="separate"/>
      </w:r>
      <w:r w:rsidR="009A1370">
        <w:rPr>
          <w:lang w:val="en-GB"/>
        </w:rPr>
        <w:t>[2]</w:t>
      </w:r>
      <w:r>
        <w:rPr>
          <w:lang w:val="en-GB"/>
        </w:rPr>
        <w:fldChar w:fldCharType="end"/>
      </w:r>
      <w:r>
        <w:rPr>
          <w:lang w:val="en-GB"/>
        </w:rPr>
        <w:t xml:space="preserve">. It should be made clear that </w:t>
      </w:r>
      <w:r>
        <w:rPr>
          <w:lang w:val="en-GB"/>
        </w:rPr>
        <w:fldChar w:fldCharType="begin"/>
      </w:r>
      <w:r>
        <w:rPr>
          <w:lang w:val="en-GB"/>
        </w:rPr>
        <w:instrText xml:space="preserve"> REF _Ref39945634 \w \h </w:instrText>
      </w:r>
      <w:r>
        <w:rPr>
          <w:lang w:val="en-GB"/>
        </w:rPr>
      </w:r>
      <w:r>
        <w:rPr>
          <w:lang w:val="en-GB"/>
        </w:rPr>
        <w:fldChar w:fldCharType="separate"/>
      </w:r>
      <w:r w:rsidR="009A1370">
        <w:rPr>
          <w:lang w:val="en-GB"/>
        </w:rPr>
        <w:t>[1]</w:t>
      </w:r>
      <w:r>
        <w:rPr>
          <w:lang w:val="en-GB"/>
        </w:rPr>
        <w:fldChar w:fldCharType="end"/>
      </w:r>
      <w:r>
        <w:rPr>
          <w:lang w:val="en-GB"/>
        </w:rPr>
        <w:t xml:space="preserve"> defines a lower power limit than is recommended in band c1 of </w:t>
      </w:r>
      <w:r>
        <w:rPr>
          <w:lang w:val="en-GB"/>
        </w:rPr>
        <w:fldChar w:fldCharType="begin"/>
      </w:r>
      <w:r>
        <w:rPr>
          <w:lang w:val="en-GB"/>
        </w:rPr>
        <w:instrText xml:space="preserve"> REF _Ref39987947 \w \h </w:instrText>
      </w:r>
      <w:r>
        <w:rPr>
          <w:lang w:val="en-GB"/>
        </w:rPr>
      </w:r>
      <w:r>
        <w:rPr>
          <w:lang w:val="en-GB"/>
        </w:rPr>
        <w:fldChar w:fldCharType="separate"/>
      </w:r>
      <w:r w:rsidR="009A1370">
        <w:rPr>
          <w:lang w:val="en-GB"/>
        </w:rPr>
        <w:t>[2]</w:t>
      </w:r>
      <w:r>
        <w:rPr>
          <w:lang w:val="en-GB"/>
        </w:rPr>
        <w:fldChar w:fldCharType="end"/>
      </w:r>
      <w:r>
        <w:rPr>
          <w:lang w:val="en-GB"/>
        </w:rPr>
        <w:t xml:space="preserve">. It should be further noted that short range devices (SRDs) are not covered by either </w:t>
      </w:r>
      <w:r>
        <w:rPr>
          <w:lang w:val="en-GB"/>
        </w:rPr>
        <w:fldChar w:fldCharType="begin"/>
      </w:r>
      <w:r>
        <w:rPr>
          <w:lang w:val="en-GB"/>
        </w:rPr>
        <w:instrText xml:space="preserve"> REF _Ref39945634 \w \h </w:instrText>
      </w:r>
      <w:r>
        <w:rPr>
          <w:lang w:val="en-GB"/>
        </w:rPr>
      </w:r>
      <w:r>
        <w:rPr>
          <w:lang w:val="en-GB"/>
        </w:rPr>
        <w:fldChar w:fldCharType="separate"/>
      </w:r>
      <w:r w:rsidR="009A1370">
        <w:rPr>
          <w:lang w:val="en-GB"/>
        </w:rPr>
        <w:t>[1]</w:t>
      </w:r>
      <w:r>
        <w:rPr>
          <w:lang w:val="en-GB"/>
        </w:rPr>
        <w:fldChar w:fldCharType="end"/>
      </w:r>
      <w:r>
        <w:rPr>
          <w:lang w:val="en-GB"/>
        </w:rPr>
        <w:t xml:space="preserve"> or </w:t>
      </w:r>
      <w:r w:rsidR="00680405">
        <w:rPr>
          <w:lang w:val="en-GB"/>
        </w:rPr>
        <w:fldChar w:fldCharType="begin"/>
      </w:r>
      <w:r w:rsidR="00680405">
        <w:rPr>
          <w:lang w:val="en-GB"/>
        </w:rPr>
        <w:instrText xml:space="preserve"> REF _Ref40428994 \w \h </w:instrText>
      </w:r>
      <w:r w:rsidR="00680405">
        <w:rPr>
          <w:lang w:val="en-GB"/>
        </w:rPr>
      </w:r>
      <w:r w:rsidR="00680405">
        <w:rPr>
          <w:lang w:val="en-GB"/>
        </w:rPr>
        <w:fldChar w:fldCharType="separate"/>
      </w:r>
      <w:r w:rsidR="009A1370">
        <w:rPr>
          <w:lang w:val="en-GB"/>
        </w:rPr>
        <w:t>[4]</w:t>
      </w:r>
      <w:r w:rsidR="00680405">
        <w:rPr>
          <w:lang w:val="en-GB"/>
        </w:rPr>
        <w:fldChar w:fldCharType="end"/>
      </w:r>
      <w:r>
        <w:rPr>
          <w:lang w:val="en-GB"/>
        </w:rPr>
        <w:t xml:space="preserve">.  Non-specific short range devices (SRDs) are covered by a separate annex 1 in </w:t>
      </w:r>
      <w:r>
        <w:rPr>
          <w:lang w:val="en-GB"/>
        </w:rPr>
        <w:fldChar w:fldCharType="begin"/>
      </w:r>
      <w:r>
        <w:rPr>
          <w:lang w:val="en-GB"/>
        </w:rPr>
        <w:instrText xml:space="preserve"> REF _Ref39987947 \w \h </w:instrText>
      </w:r>
      <w:r>
        <w:rPr>
          <w:lang w:val="en-GB"/>
        </w:rPr>
      </w:r>
      <w:r>
        <w:rPr>
          <w:lang w:val="en-GB"/>
        </w:rPr>
        <w:fldChar w:fldCharType="separate"/>
      </w:r>
      <w:r w:rsidR="009A1370">
        <w:rPr>
          <w:lang w:val="en-GB"/>
        </w:rPr>
        <w:t>[2]</w:t>
      </w:r>
      <w:r>
        <w:rPr>
          <w:lang w:val="en-GB"/>
        </w:rPr>
        <w:fldChar w:fldCharType="end"/>
      </w:r>
      <w:r>
        <w:rPr>
          <w:lang w:val="en-GB"/>
        </w:rPr>
        <w:t xml:space="preserve"> by the n1 and n2 bands which in turn is covered by yet another ETSI harmonised standard </w:t>
      </w:r>
      <w:r w:rsidR="009A1370">
        <w:rPr>
          <w:lang w:val="en-GB"/>
        </w:rPr>
        <w:fldChar w:fldCharType="begin"/>
      </w:r>
      <w:r w:rsidR="009A1370">
        <w:rPr>
          <w:lang w:val="en-GB"/>
        </w:rPr>
        <w:instrText xml:space="preserve"> REF _Ref40432318 \w \h </w:instrText>
      </w:r>
      <w:r w:rsidR="009A1370">
        <w:rPr>
          <w:lang w:val="en-GB"/>
        </w:rPr>
      </w:r>
      <w:r w:rsidR="009A1370">
        <w:rPr>
          <w:lang w:val="en-GB"/>
        </w:rPr>
        <w:fldChar w:fldCharType="separate"/>
      </w:r>
      <w:r w:rsidR="009A1370">
        <w:rPr>
          <w:lang w:val="en-GB"/>
        </w:rPr>
        <w:t>[7]</w:t>
      </w:r>
      <w:r w:rsidR="009A1370">
        <w:rPr>
          <w:lang w:val="en-GB"/>
        </w:rPr>
        <w:fldChar w:fldCharType="end"/>
      </w:r>
      <w:r>
        <w:rPr>
          <w:lang w:val="en-GB"/>
        </w:rPr>
        <w:t xml:space="preserve"> which specifies considerably lower power maximum than that available in </w:t>
      </w:r>
      <w:r>
        <w:rPr>
          <w:lang w:val="en-GB"/>
        </w:rPr>
        <w:fldChar w:fldCharType="begin"/>
      </w:r>
      <w:r>
        <w:rPr>
          <w:lang w:val="en-GB"/>
        </w:rPr>
        <w:instrText xml:space="preserve"> REF _Ref39945634 \w \h </w:instrText>
      </w:r>
      <w:r>
        <w:rPr>
          <w:lang w:val="en-GB"/>
        </w:rPr>
      </w:r>
      <w:r>
        <w:rPr>
          <w:lang w:val="en-GB"/>
        </w:rPr>
        <w:fldChar w:fldCharType="separate"/>
      </w:r>
      <w:r w:rsidR="009A1370">
        <w:rPr>
          <w:lang w:val="en-GB"/>
        </w:rPr>
        <w:t>[1]</w:t>
      </w:r>
      <w:r>
        <w:rPr>
          <w:lang w:val="en-GB"/>
        </w:rPr>
        <w:fldChar w:fldCharType="end"/>
      </w:r>
      <w:r>
        <w:rPr>
          <w:lang w:val="en-GB"/>
        </w:rPr>
        <w:t xml:space="preserve"> or </w:t>
      </w:r>
      <w:r w:rsidR="00680405">
        <w:rPr>
          <w:lang w:val="en-GB"/>
        </w:rPr>
        <w:fldChar w:fldCharType="begin"/>
      </w:r>
      <w:r w:rsidR="00680405">
        <w:rPr>
          <w:lang w:val="en-GB"/>
        </w:rPr>
        <w:instrText xml:space="preserve"> REF _Ref40428994 \w \h </w:instrText>
      </w:r>
      <w:r w:rsidR="00680405">
        <w:rPr>
          <w:lang w:val="en-GB"/>
        </w:rPr>
      </w:r>
      <w:r w:rsidR="00680405">
        <w:rPr>
          <w:lang w:val="en-GB"/>
        </w:rPr>
        <w:fldChar w:fldCharType="separate"/>
      </w:r>
      <w:r w:rsidR="009A1370">
        <w:rPr>
          <w:lang w:val="en-GB"/>
        </w:rPr>
        <w:t>[4]</w:t>
      </w:r>
      <w:r w:rsidR="00680405">
        <w:rPr>
          <w:lang w:val="en-GB"/>
        </w:rPr>
        <w:fldChar w:fldCharType="end"/>
      </w:r>
      <w:r>
        <w:rPr>
          <w:lang w:val="en-GB"/>
        </w:rPr>
        <w:t>.</w:t>
      </w:r>
    </w:p>
    <w:p w14:paraId="134ED580" w14:textId="40D46E3B" w:rsidR="00E958C2" w:rsidRPr="00D525C3" w:rsidRDefault="00E958C2" w:rsidP="00E958C2">
      <w:pPr>
        <w:rPr>
          <w:lang w:val="en-GB"/>
        </w:rPr>
      </w:pPr>
      <w:r>
        <w:rPr>
          <w:lang w:val="en-GB"/>
        </w:rPr>
        <w:t xml:space="preserve">At least in Europe and all accompanying CEPT regions, any 3GPP devices put to market in the </w:t>
      </w:r>
      <w:r w:rsidR="0010629B">
        <w:rPr>
          <w:lang w:val="en-GB"/>
        </w:rPr>
        <w:t>above 57GHz unlicensed</w:t>
      </w:r>
      <w:r>
        <w:rPr>
          <w:lang w:val="en-GB"/>
        </w:rPr>
        <w:t xml:space="preserve"> spectrum can currently only be low power indoor wideband data transmission systems or very low power SRDs. The lack of a harmonised standard (HS) covering higher power indoor devices or fixed outdoor wideband data transmission systems and SRDs, will make bringing 3GPP complaint devices to market that are not of the aforementioned, on a state-by-state basis, extremely burdensome.</w:t>
      </w:r>
    </w:p>
    <w:p w14:paraId="78BE534D" w14:textId="7F24B384" w:rsidR="00A35DF7" w:rsidRDefault="0010629B" w:rsidP="00A35DF7">
      <w:pPr>
        <w:rPr>
          <w:b/>
          <w:lang w:val="en-GB"/>
        </w:rPr>
      </w:pPr>
      <w:r>
        <w:rPr>
          <w:lang w:val="en-GB"/>
        </w:rPr>
        <w:t xml:space="preserve">It is also worth highlighting, mainly for coexistence reasons and also interference mitigation reasons, </w:t>
      </w:r>
      <w:r w:rsidR="006D74E6">
        <w:rPr>
          <w:lang w:val="en-GB"/>
        </w:rPr>
        <w:t xml:space="preserve">the lower half of the band </w:t>
      </w:r>
      <w:r>
        <w:rPr>
          <w:lang w:val="en-GB"/>
        </w:rPr>
        <w:t>57GHz – 64GHz</w:t>
      </w:r>
      <w:r w:rsidR="006D74E6">
        <w:rPr>
          <w:lang w:val="en-GB"/>
        </w:rPr>
        <w:t xml:space="preserve"> has also been recommended in </w:t>
      </w:r>
      <w:r w:rsidR="006D74E6">
        <w:rPr>
          <w:lang w:val="en-GB"/>
        </w:rPr>
        <w:fldChar w:fldCharType="begin"/>
      </w:r>
      <w:r w:rsidR="006D74E6">
        <w:rPr>
          <w:lang w:val="en-GB"/>
        </w:rPr>
        <w:instrText xml:space="preserve"> REF _Ref39987947 \w \h </w:instrText>
      </w:r>
      <w:r w:rsidR="006D74E6">
        <w:rPr>
          <w:lang w:val="en-GB"/>
        </w:rPr>
      </w:r>
      <w:r w:rsidR="006D74E6">
        <w:rPr>
          <w:lang w:val="en-GB"/>
        </w:rPr>
        <w:fldChar w:fldCharType="separate"/>
      </w:r>
      <w:r w:rsidR="009A1370">
        <w:rPr>
          <w:lang w:val="en-GB"/>
        </w:rPr>
        <w:t>[2]</w:t>
      </w:r>
      <w:r w:rsidR="006D74E6">
        <w:rPr>
          <w:lang w:val="en-GB"/>
        </w:rPr>
        <w:fldChar w:fldCharType="end"/>
      </w:r>
      <w:r w:rsidR="006D74E6">
        <w:rPr>
          <w:lang w:val="en-GB"/>
        </w:rPr>
        <w:t xml:space="preserve"> for use by </w:t>
      </w:r>
      <w:proofErr w:type="spellStart"/>
      <w:r w:rsidR="006D74E6">
        <w:rPr>
          <w:lang w:val="en-GB"/>
        </w:rPr>
        <w:t>Radiodetermination</w:t>
      </w:r>
      <w:proofErr w:type="spellEnd"/>
      <w:r w:rsidR="006D74E6">
        <w:rPr>
          <w:lang w:val="en-GB"/>
        </w:rPr>
        <w:t xml:space="preserve"> Applications, also known as mm-wave radar. This too is covered by an ETSI HS </w:t>
      </w:r>
      <w:r w:rsidR="00C304F5">
        <w:rPr>
          <w:lang w:val="en-GB"/>
        </w:rPr>
        <w:fldChar w:fldCharType="begin"/>
      </w:r>
      <w:r w:rsidR="00C304F5">
        <w:rPr>
          <w:lang w:val="en-GB"/>
        </w:rPr>
        <w:instrText xml:space="preserve"> REF _Ref40188470 \w \h </w:instrText>
      </w:r>
      <w:r w:rsidR="00C304F5">
        <w:rPr>
          <w:lang w:val="en-GB"/>
        </w:rPr>
      </w:r>
      <w:r w:rsidR="00C304F5">
        <w:rPr>
          <w:lang w:val="en-GB"/>
        </w:rPr>
        <w:fldChar w:fldCharType="separate"/>
      </w:r>
      <w:r w:rsidR="009A1370">
        <w:rPr>
          <w:lang w:val="en-GB"/>
        </w:rPr>
        <w:t>[8]</w:t>
      </w:r>
      <w:r w:rsidR="00C304F5">
        <w:rPr>
          <w:lang w:val="en-GB"/>
        </w:rPr>
        <w:fldChar w:fldCharType="end"/>
      </w:r>
      <w:r w:rsidR="006D74E6">
        <w:rPr>
          <w:lang w:val="en-GB"/>
        </w:rPr>
        <w:t>.</w:t>
      </w:r>
      <w:r w:rsidR="00C52E94">
        <w:rPr>
          <w:lang w:val="en-GB"/>
        </w:rPr>
        <w:t xml:space="preserve"> </w:t>
      </w:r>
      <w:r w:rsidR="00331A73">
        <w:rPr>
          <w:lang w:val="en-GB"/>
        </w:rPr>
        <w:t xml:space="preserve">The FCC </w:t>
      </w:r>
      <w:r w:rsidR="001F25CF">
        <w:rPr>
          <w:lang w:val="en-GB"/>
        </w:rPr>
        <w:t xml:space="preserve">also </w:t>
      </w:r>
      <w:r w:rsidR="00331A73">
        <w:rPr>
          <w:lang w:val="en-GB"/>
        </w:rPr>
        <w:t xml:space="preserve">has published regulations for 57 – 71 GHz in </w:t>
      </w:r>
      <w:r w:rsidR="001F25CF">
        <w:rPr>
          <w:lang w:val="en-GB"/>
        </w:rPr>
        <w:fldChar w:fldCharType="begin"/>
      </w:r>
      <w:r w:rsidR="001F25CF">
        <w:rPr>
          <w:lang w:val="en-GB"/>
        </w:rPr>
        <w:instrText xml:space="preserve"> REF _Ref40462045 \w \h </w:instrText>
      </w:r>
      <w:r w:rsidR="001F25CF">
        <w:rPr>
          <w:lang w:val="en-GB"/>
        </w:rPr>
      </w:r>
      <w:r w:rsidR="001F25CF">
        <w:rPr>
          <w:lang w:val="en-GB"/>
        </w:rPr>
        <w:fldChar w:fldCharType="separate"/>
      </w:r>
      <w:r w:rsidR="001F25CF">
        <w:rPr>
          <w:lang w:val="en-GB"/>
        </w:rPr>
        <w:t>[9]</w:t>
      </w:r>
      <w:r w:rsidR="001F25CF">
        <w:rPr>
          <w:lang w:val="en-GB"/>
        </w:rPr>
        <w:fldChar w:fldCharType="end"/>
      </w:r>
      <w:bookmarkStart w:id="1" w:name="_GoBack"/>
      <w:bookmarkEnd w:id="1"/>
      <w:r w:rsidR="00331A73">
        <w:rPr>
          <w:lang w:val="en-GB"/>
        </w:rPr>
        <w:t xml:space="preserve">. </w:t>
      </w:r>
      <w:r w:rsidR="00C52E94">
        <w:rPr>
          <w:lang w:val="en-GB"/>
        </w:rPr>
        <w:t xml:space="preserve">For comparison we summarize all the currently available limits for these standards in </w:t>
      </w:r>
      <w:r w:rsidR="00C52E94" w:rsidRPr="00C52E94">
        <w:rPr>
          <w:lang w:val="en-GB"/>
        </w:rPr>
        <w:fldChar w:fldCharType="begin"/>
      </w:r>
      <w:r w:rsidR="00C52E94" w:rsidRPr="00C52E94">
        <w:rPr>
          <w:lang w:val="en-GB"/>
        </w:rPr>
        <w:instrText xml:space="preserve"> REF _Ref40198113 \h  \* MERGEFORMAT </w:instrText>
      </w:r>
      <w:r w:rsidR="00C52E94" w:rsidRPr="00C52E94">
        <w:rPr>
          <w:lang w:val="en-GB"/>
        </w:rPr>
      </w:r>
      <w:r w:rsidR="00C52E94" w:rsidRPr="00C52E94">
        <w:rPr>
          <w:lang w:val="en-GB"/>
        </w:rPr>
        <w:fldChar w:fldCharType="separate"/>
      </w:r>
      <w:r w:rsidR="009A1370" w:rsidRPr="00DC66F3">
        <w:t xml:space="preserve">Table </w:t>
      </w:r>
      <w:r w:rsidR="009A1370" w:rsidRPr="00DC66F3">
        <w:rPr>
          <w:noProof/>
        </w:rPr>
        <w:t>1</w:t>
      </w:r>
      <w:r w:rsidR="00C52E94" w:rsidRPr="00C52E94">
        <w:rPr>
          <w:lang w:val="en-GB"/>
        </w:rPr>
        <w:fldChar w:fldCharType="end"/>
      </w:r>
      <w:r w:rsidR="00C52E94" w:rsidRPr="00C52E94">
        <w:rPr>
          <w:b/>
          <w:lang w:val="en-GB"/>
        </w:rPr>
        <w:t>.</w:t>
      </w:r>
    </w:p>
    <w:p w14:paraId="0B54076D" w14:textId="59E3B1EB" w:rsidR="00C52E94" w:rsidRPr="00C52E94" w:rsidRDefault="00C52E94" w:rsidP="00A35DF7">
      <w:pPr>
        <w:rPr>
          <w:lang w:val="en-GB"/>
        </w:rPr>
      </w:pPr>
      <w:r w:rsidRPr="00C52E94">
        <w:rPr>
          <w:lang w:val="en-GB"/>
        </w:rPr>
        <w:t xml:space="preserve">Since </w:t>
      </w:r>
      <w:r>
        <w:rPr>
          <w:lang w:val="en-GB"/>
        </w:rPr>
        <w:t>3GPP seeks a global solution, for now at least, while regulations for fixed and outdoor scenarios are finalised, 3GPP should concentrate on what is already covered by existing regulations.</w:t>
      </w:r>
    </w:p>
    <w:p w14:paraId="6E66B7AA" w14:textId="73F5EC1E" w:rsidR="00DC66F3" w:rsidRPr="00DC66F3" w:rsidRDefault="00DC66F3" w:rsidP="00DC66F3">
      <w:pPr>
        <w:pStyle w:val="Caption"/>
        <w:keepNext/>
        <w:jc w:val="center"/>
        <w:rPr>
          <w:b w:val="0"/>
        </w:rPr>
      </w:pPr>
      <w:bookmarkStart w:id="2" w:name="_Ref40198113"/>
      <w:r w:rsidRPr="00DC66F3">
        <w:rPr>
          <w:b w:val="0"/>
        </w:rPr>
        <w:lastRenderedPageBreak/>
        <w:t xml:space="preserve">Table </w:t>
      </w:r>
      <w:r w:rsidRPr="00DC66F3">
        <w:rPr>
          <w:b w:val="0"/>
        </w:rPr>
        <w:fldChar w:fldCharType="begin"/>
      </w:r>
      <w:r w:rsidRPr="00DC66F3">
        <w:rPr>
          <w:b w:val="0"/>
        </w:rPr>
        <w:instrText xml:space="preserve"> SEQ Table \* ARABIC </w:instrText>
      </w:r>
      <w:r w:rsidRPr="00DC66F3">
        <w:rPr>
          <w:b w:val="0"/>
        </w:rPr>
        <w:fldChar w:fldCharType="separate"/>
      </w:r>
      <w:r w:rsidR="000436B3">
        <w:rPr>
          <w:b w:val="0"/>
          <w:noProof/>
        </w:rPr>
        <w:t>1</w:t>
      </w:r>
      <w:r w:rsidRPr="00DC66F3">
        <w:rPr>
          <w:b w:val="0"/>
        </w:rPr>
        <w:fldChar w:fldCharType="end"/>
      </w:r>
      <w:bookmarkEnd w:id="2"/>
      <w:r w:rsidRPr="00DC66F3">
        <w:rPr>
          <w:b w:val="0"/>
        </w:rPr>
        <w:t>: Frequency and power limits</w:t>
      </w:r>
    </w:p>
    <w:tbl>
      <w:tblPr>
        <w:tblStyle w:val="TableGrid"/>
        <w:tblW w:w="9655" w:type="dxa"/>
        <w:tblInd w:w="220" w:type="dxa"/>
        <w:tblLayout w:type="fixed"/>
        <w:tblLook w:val="04A0" w:firstRow="1" w:lastRow="0" w:firstColumn="1" w:lastColumn="0" w:noHBand="0" w:noVBand="1"/>
      </w:tblPr>
      <w:tblGrid>
        <w:gridCol w:w="3570"/>
        <w:gridCol w:w="1520"/>
        <w:gridCol w:w="1175"/>
        <w:gridCol w:w="1108"/>
        <w:gridCol w:w="1086"/>
        <w:gridCol w:w="1196"/>
      </w:tblGrid>
      <w:tr w:rsidR="000024C9" w14:paraId="4C0AB10C" w14:textId="77777777" w:rsidTr="001F25CF">
        <w:tc>
          <w:tcPr>
            <w:tcW w:w="3570" w:type="dxa"/>
            <w:tcBorders>
              <w:top w:val="nil"/>
              <w:left w:val="nil"/>
              <w:right w:val="single" w:sz="4" w:space="0" w:color="auto"/>
            </w:tcBorders>
            <w:vAlign w:val="center"/>
          </w:tcPr>
          <w:p w14:paraId="5FAA5C6E" w14:textId="77777777" w:rsidR="000024C9" w:rsidRDefault="000024C9" w:rsidP="0003670E">
            <w:pPr>
              <w:keepNext/>
              <w:spacing w:beforeLines="40" w:before="96" w:afterLines="40" w:after="96"/>
              <w:rPr>
                <w:lang w:val="en-GB"/>
              </w:rPr>
            </w:pPr>
          </w:p>
        </w:tc>
        <w:tc>
          <w:tcPr>
            <w:tcW w:w="1520" w:type="dxa"/>
            <w:tcBorders>
              <w:left w:val="single" w:sz="4" w:space="0" w:color="auto"/>
              <w:right w:val="single" w:sz="4" w:space="0" w:color="auto"/>
            </w:tcBorders>
            <w:shd w:val="clear" w:color="auto" w:fill="FBE4D5" w:themeFill="accent2" w:themeFillTint="33"/>
            <w:vAlign w:val="center"/>
          </w:tcPr>
          <w:p w14:paraId="77934847" w14:textId="6972D037" w:rsidR="000024C9" w:rsidRPr="00DC66F3" w:rsidRDefault="000024C9" w:rsidP="0003670E">
            <w:pPr>
              <w:keepNext/>
              <w:spacing w:beforeLines="40" w:before="96" w:afterLines="40" w:after="96"/>
              <w:jc w:val="center"/>
              <w:rPr>
                <w:b/>
                <w:lang w:val="en-GB"/>
              </w:rPr>
            </w:pPr>
            <w:r>
              <w:rPr>
                <w:b/>
                <w:lang w:val="en-GB"/>
              </w:rPr>
              <w:t>FCC</w:t>
            </w:r>
          </w:p>
        </w:tc>
        <w:tc>
          <w:tcPr>
            <w:tcW w:w="1175" w:type="dxa"/>
            <w:tcBorders>
              <w:left w:val="single" w:sz="4" w:space="0" w:color="auto"/>
            </w:tcBorders>
            <w:shd w:val="clear" w:color="auto" w:fill="FBE4D5" w:themeFill="accent2" w:themeFillTint="33"/>
            <w:vAlign w:val="center"/>
          </w:tcPr>
          <w:p w14:paraId="25A8C6AC" w14:textId="48E440B5" w:rsidR="000024C9" w:rsidRPr="00DC66F3" w:rsidRDefault="000024C9" w:rsidP="0003670E">
            <w:pPr>
              <w:keepNext/>
              <w:spacing w:beforeLines="40" w:before="96" w:afterLines="40" w:after="96"/>
              <w:jc w:val="center"/>
              <w:rPr>
                <w:b/>
                <w:lang w:val="en-GB"/>
              </w:rPr>
            </w:pPr>
            <w:r w:rsidRPr="00DC66F3">
              <w:rPr>
                <w:b/>
                <w:lang w:val="en-GB"/>
              </w:rPr>
              <w:t>EN 305 550</w:t>
            </w:r>
          </w:p>
        </w:tc>
        <w:tc>
          <w:tcPr>
            <w:tcW w:w="1108" w:type="dxa"/>
            <w:shd w:val="clear" w:color="auto" w:fill="FBE4D5" w:themeFill="accent2" w:themeFillTint="33"/>
            <w:vAlign w:val="center"/>
          </w:tcPr>
          <w:p w14:paraId="56DA7EBD" w14:textId="3B55FC89" w:rsidR="000024C9" w:rsidRPr="00DC66F3" w:rsidRDefault="000024C9" w:rsidP="0003670E">
            <w:pPr>
              <w:keepNext/>
              <w:spacing w:beforeLines="40" w:before="96" w:afterLines="40" w:after="96"/>
              <w:jc w:val="center"/>
              <w:rPr>
                <w:b/>
                <w:lang w:val="en-GB"/>
              </w:rPr>
            </w:pPr>
            <w:r w:rsidRPr="00DC66F3">
              <w:rPr>
                <w:b/>
                <w:lang w:val="en-GB"/>
              </w:rPr>
              <w:t>EN 302 567</w:t>
            </w:r>
          </w:p>
        </w:tc>
        <w:tc>
          <w:tcPr>
            <w:tcW w:w="1086" w:type="dxa"/>
            <w:vAlign w:val="center"/>
          </w:tcPr>
          <w:p w14:paraId="173CF2BA" w14:textId="6CC5E224" w:rsidR="000024C9" w:rsidRPr="00DC66F3" w:rsidRDefault="000024C9" w:rsidP="0003670E">
            <w:pPr>
              <w:keepNext/>
              <w:spacing w:beforeLines="40" w:before="96" w:afterLines="40" w:after="96"/>
              <w:jc w:val="center"/>
              <w:rPr>
                <w:b/>
                <w:lang w:val="en-GB"/>
              </w:rPr>
            </w:pPr>
            <w:r w:rsidRPr="00DC66F3">
              <w:rPr>
                <w:b/>
                <w:lang w:val="en-GB"/>
              </w:rPr>
              <w:t>EN 303 722</w:t>
            </w:r>
          </w:p>
        </w:tc>
        <w:tc>
          <w:tcPr>
            <w:tcW w:w="1196" w:type="dxa"/>
            <w:vAlign w:val="center"/>
          </w:tcPr>
          <w:p w14:paraId="183889C9" w14:textId="7E817F21" w:rsidR="000024C9" w:rsidRPr="00DC66F3" w:rsidRDefault="000024C9" w:rsidP="0003670E">
            <w:pPr>
              <w:keepNext/>
              <w:spacing w:beforeLines="40" w:before="96" w:afterLines="40" w:after="96"/>
              <w:jc w:val="center"/>
              <w:rPr>
                <w:b/>
                <w:lang w:val="en-GB"/>
              </w:rPr>
            </w:pPr>
            <w:r w:rsidRPr="00DC66F3">
              <w:rPr>
                <w:b/>
                <w:lang w:val="en-GB"/>
              </w:rPr>
              <w:t>ERC/REC/70-03</w:t>
            </w:r>
          </w:p>
        </w:tc>
      </w:tr>
      <w:tr w:rsidR="000024C9" w14:paraId="0F91F852" w14:textId="77777777" w:rsidTr="001F25CF">
        <w:tc>
          <w:tcPr>
            <w:tcW w:w="3570" w:type="dxa"/>
            <w:vAlign w:val="center"/>
          </w:tcPr>
          <w:p w14:paraId="5136E8B5" w14:textId="1CEFB5C7" w:rsidR="000024C9" w:rsidRPr="00DC66F3" w:rsidRDefault="000024C9" w:rsidP="0003670E">
            <w:pPr>
              <w:keepNext/>
              <w:spacing w:beforeLines="40" w:before="96" w:afterLines="40" w:after="96"/>
              <w:rPr>
                <w:b/>
                <w:lang w:val="en-GB"/>
              </w:rPr>
            </w:pPr>
            <w:r w:rsidRPr="00DC66F3">
              <w:rPr>
                <w:b/>
                <w:lang w:val="en-GB"/>
              </w:rPr>
              <w:t>Frequency (GHz)</w:t>
            </w:r>
          </w:p>
        </w:tc>
        <w:tc>
          <w:tcPr>
            <w:tcW w:w="1520" w:type="dxa"/>
            <w:shd w:val="clear" w:color="auto" w:fill="FBE4D5" w:themeFill="accent2" w:themeFillTint="33"/>
            <w:vAlign w:val="center"/>
          </w:tcPr>
          <w:p w14:paraId="48430FF0" w14:textId="75F4B277" w:rsidR="000024C9" w:rsidRDefault="0051494E" w:rsidP="0003670E">
            <w:pPr>
              <w:keepNext/>
              <w:spacing w:beforeLines="40" w:before="96" w:afterLines="40" w:after="96"/>
              <w:jc w:val="center"/>
              <w:rPr>
                <w:lang w:val="en-GB"/>
              </w:rPr>
            </w:pPr>
            <w:r>
              <w:rPr>
                <w:lang w:val="en-GB"/>
              </w:rPr>
              <w:t>57 – 71</w:t>
            </w:r>
          </w:p>
        </w:tc>
        <w:tc>
          <w:tcPr>
            <w:tcW w:w="1175" w:type="dxa"/>
            <w:shd w:val="clear" w:color="auto" w:fill="FBE4D5" w:themeFill="accent2" w:themeFillTint="33"/>
            <w:vAlign w:val="center"/>
          </w:tcPr>
          <w:p w14:paraId="746B4E43" w14:textId="6848B48A" w:rsidR="000024C9" w:rsidRDefault="000024C9" w:rsidP="0003670E">
            <w:pPr>
              <w:keepNext/>
              <w:spacing w:beforeLines="40" w:before="96" w:afterLines="40" w:after="96"/>
              <w:jc w:val="center"/>
              <w:rPr>
                <w:lang w:val="en-GB"/>
              </w:rPr>
            </w:pPr>
            <w:r>
              <w:rPr>
                <w:lang w:val="en-GB"/>
              </w:rPr>
              <w:t>57 – 64</w:t>
            </w:r>
          </w:p>
          <w:p w14:paraId="428A4F4E" w14:textId="2EF23533" w:rsidR="000024C9" w:rsidRDefault="000024C9" w:rsidP="0003670E">
            <w:pPr>
              <w:keepNext/>
              <w:spacing w:beforeLines="40" w:before="96" w:afterLines="40" w:after="96"/>
              <w:jc w:val="center"/>
              <w:rPr>
                <w:lang w:val="en-GB"/>
              </w:rPr>
            </w:pPr>
            <w:r>
              <w:rPr>
                <w:lang w:val="en-GB"/>
              </w:rPr>
              <w:t>61 – 61.5</w:t>
            </w:r>
          </w:p>
        </w:tc>
        <w:tc>
          <w:tcPr>
            <w:tcW w:w="1108" w:type="dxa"/>
            <w:shd w:val="clear" w:color="auto" w:fill="FBE4D5" w:themeFill="accent2" w:themeFillTint="33"/>
            <w:vAlign w:val="center"/>
          </w:tcPr>
          <w:p w14:paraId="4F113E39" w14:textId="6E9D33D3" w:rsidR="000024C9" w:rsidRDefault="000024C9" w:rsidP="0003670E">
            <w:pPr>
              <w:keepNext/>
              <w:spacing w:beforeLines="40" w:before="96" w:afterLines="40" w:after="96"/>
              <w:jc w:val="center"/>
              <w:rPr>
                <w:lang w:val="en-GB"/>
              </w:rPr>
            </w:pPr>
            <w:r>
              <w:rPr>
                <w:lang w:val="en-GB"/>
              </w:rPr>
              <w:t>57 – 66</w:t>
            </w:r>
          </w:p>
        </w:tc>
        <w:tc>
          <w:tcPr>
            <w:tcW w:w="1086" w:type="dxa"/>
            <w:vAlign w:val="center"/>
          </w:tcPr>
          <w:p w14:paraId="638CF735" w14:textId="2C8683F7" w:rsidR="000024C9" w:rsidRDefault="000024C9" w:rsidP="0003670E">
            <w:pPr>
              <w:keepNext/>
              <w:spacing w:beforeLines="40" w:before="96" w:afterLines="40" w:after="96"/>
              <w:jc w:val="center"/>
              <w:rPr>
                <w:lang w:val="en-GB"/>
              </w:rPr>
            </w:pPr>
            <w:r>
              <w:rPr>
                <w:lang w:val="en-GB"/>
              </w:rPr>
              <w:t>57 – 71</w:t>
            </w:r>
          </w:p>
        </w:tc>
        <w:tc>
          <w:tcPr>
            <w:tcW w:w="1196" w:type="dxa"/>
            <w:vAlign w:val="center"/>
          </w:tcPr>
          <w:p w14:paraId="31F498AD" w14:textId="6000C925" w:rsidR="000024C9" w:rsidRDefault="000024C9" w:rsidP="0003670E">
            <w:pPr>
              <w:keepNext/>
              <w:spacing w:beforeLines="40" w:before="96" w:afterLines="40" w:after="96"/>
              <w:jc w:val="center"/>
              <w:rPr>
                <w:lang w:val="en-GB"/>
              </w:rPr>
            </w:pPr>
            <w:r>
              <w:rPr>
                <w:lang w:val="en-GB"/>
              </w:rPr>
              <w:t>57 – 71</w:t>
            </w:r>
          </w:p>
        </w:tc>
      </w:tr>
      <w:tr w:rsidR="000024C9" w14:paraId="03901A4F" w14:textId="77777777" w:rsidTr="001F25CF">
        <w:tc>
          <w:tcPr>
            <w:tcW w:w="3570" w:type="dxa"/>
            <w:vAlign w:val="center"/>
          </w:tcPr>
          <w:p w14:paraId="6DF02299" w14:textId="21CC293B" w:rsidR="000024C9" w:rsidRPr="00DC66F3" w:rsidRDefault="000024C9" w:rsidP="0003670E">
            <w:pPr>
              <w:keepNext/>
              <w:spacing w:beforeLines="40" w:before="96" w:afterLines="40" w:after="96"/>
              <w:rPr>
                <w:b/>
                <w:lang w:val="en-GB"/>
              </w:rPr>
            </w:pPr>
            <w:r w:rsidRPr="00DC66F3">
              <w:rPr>
                <w:b/>
                <w:lang w:val="en-GB"/>
              </w:rPr>
              <w:t>Spectral density (</w:t>
            </w:r>
            <w:proofErr w:type="spellStart"/>
            <w:r w:rsidRPr="00DC66F3">
              <w:rPr>
                <w:b/>
                <w:lang w:val="en-GB"/>
              </w:rPr>
              <w:t>dBm</w:t>
            </w:r>
            <w:proofErr w:type="spellEnd"/>
            <w:r w:rsidRPr="00DC66F3">
              <w:rPr>
                <w:b/>
                <w:lang w:val="en-GB"/>
              </w:rPr>
              <w:t>/MHz)</w:t>
            </w:r>
            <w:r w:rsidR="00335531">
              <w:rPr>
                <w:b/>
                <w:lang w:val="en-GB"/>
              </w:rPr>
              <w:t xml:space="preserve"> (EIRP)</w:t>
            </w:r>
          </w:p>
        </w:tc>
        <w:tc>
          <w:tcPr>
            <w:tcW w:w="1520" w:type="dxa"/>
            <w:shd w:val="clear" w:color="auto" w:fill="FBE4D5" w:themeFill="accent2" w:themeFillTint="33"/>
            <w:vAlign w:val="center"/>
          </w:tcPr>
          <w:p w14:paraId="2A6433E6" w14:textId="32656FC2" w:rsidR="000024C9" w:rsidRDefault="009A1370" w:rsidP="0003670E">
            <w:pPr>
              <w:keepNext/>
              <w:spacing w:beforeLines="40" w:before="96" w:afterLines="40" w:after="96"/>
              <w:jc w:val="center"/>
              <w:rPr>
                <w:lang w:val="en-GB"/>
              </w:rPr>
            </w:pPr>
            <w:r>
              <w:rPr>
                <w:rFonts w:ascii="Arial" w:hAnsi="Arial" w:cs="Arial"/>
                <w:lang w:val="en-GB"/>
              </w:rPr>
              <w:t>¥</w:t>
            </w:r>
          </w:p>
        </w:tc>
        <w:tc>
          <w:tcPr>
            <w:tcW w:w="1175" w:type="dxa"/>
            <w:shd w:val="clear" w:color="auto" w:fill="FBE4D5" w:themeFill="accent2" w:themeFillTint="33"/>
            <w:vAlign w:val="center"/>
          </w:tcPr>
          <w:p w14:paraId="306C4C5B" w14:textId="4FC7430D" w:rsidR="000024C9" w:rsidRDefault="000024C9" w:rsidP="0003670E">
            <w:pPr>
              <w:keepNext/>
              <w:spacing w:beforeLines="40" w:before="96" w:afterLines="40" w:after="96"/>
              <w:jc w:val="center"/>
              <w:rPr>
                <w:lang w:val="en-GB"/>
              </w:rPr>
            </w:pPr>
            <w:r>
              <w:rPr>
                <w:lang w:val="en-GB"/>
              </w:rPr>
              <w:t>13</w:t>
            </w:r>
          </w:p>
        </w:tc>
        <w:tc>
          <w:tcPr>
            <w:tcW w:w="1108" w:type="dxa"/>
            <w:shd w:val="clear" w:color="auto" w:fill="FBE4D5" w:themeFill="accent2" w:themeFillTint="33"/>
            <w:vAlign w:val="center"/>
          </w:tcPr>
          <w:p w14:paraId="45BA13CD" w14:textId="4F500456" w:rsidR="000024C9" w:rsidRDefault="000024C9" w:rsidP="0003670E">
            <w:pPr>
              <w:keepNext/>
              <w:spacing w:beforeLines="40" w:before="96" w:afterLines="40" w:after="96"/>
              <w:jc w:val="center"/>
              <w:rPr>
                <w:lang w:val="en-GB"/>
              </w:rPr>
            </w:pPr>
            <w:r>
              <w:rPr>
                <w:lang w:val="en-GB"/>
              </w:rPr>
              <w:t>13</w:t>
            </w:r>
          </w:p>
        </w:tc>
        <w:tc>
          <w:tcPr>
            <w:tcW w:w="1086" w:type="dxa"/>
            <w:vAlign w:val="center"/>
          </w:tcPr>
          <w:p w14:paraId="0E968A06" w14:textId="4F619C97" w:rsidR="000024C9" w:rsidRDefault="000024C9" w:rsidP="0003670E">
            <w:pPr>
              <w:keepNext/>
              <w:spacing w:beforeLines="40" w:before="96" w:afterLines="40" w:after="96"/>
              <w:jc w:val="center"/>
              <w:rPr>
                <w:lang w:val="en-GB"/>
              </w:rPr>
            </w:pPr>
            <w:r>
              <w:rPr>
                <w:lang w:val="en-GB"/>
              </w:rPr>
              <w:t>23</w:t>
            </w:r>
          </w:p>
        </w:tc>
        <w:tc>
          <w:tcPr>
            <w:tcW w:w="1196" w:type="dxa"/>
            <w:vAlign w:val="center"/>
          </w:tcPr>
          <w:p w14:paraId="4039C6E5" w14:textId="72EF9033" w:rsidR="000024C9" w:rsidRDefault="000024C9" w:rsidP="0003670E">
            <w:pPr>
              <w:keepNext/>
              <w:spacing w:beforeLines="40" w:before="96" w:afterLines="40" w:after="96"/>
              <w:jc w:val="center"/>
              <w:rPr>
                <w:lang w:val="en-GB"/>
              </w:rPr>
            </w:pPr>
            <w:r>
              <w:rPr>
                <w:lang w:val="en-GB"/>
              </w:rPr>
              <w:t>23</w:t>
            </w:r>
          </w:p>
        </w:tc>
      </w:tr>
      <w:tr w:rsidR="000024C9" w14:paraId="26C4BCA8" w14:textId="77777777" w:rsidTr="001F25CF">
        <w:tc>
          <w:tcPr>
            <w:tcW w:w="3570" w:type="dxa"/>
            <w:vAlign w:val="center"/>
          </w:tcPr>
          <w:p w14:paraId="4A4DF761" w14:textId="5ABE1299" w:rsidR="000024C9" w:rsidRPr="00DC66F3" w:rsidRDefault="000024C9" w:rsidP="0003670E">
            <w:pPr>
              <w:keepNext/>
              <w:spacing w:beforeLines="40" w:before="96" w:afterLines="40" w:after="96"/>
              <w:ind w:left="568"/>
              <w:rPr>
                <w:b/>
                <w:lang w:val="en-GB"/>
              </w:rPr>
            </w:pPr>
            <w:r w:rsidRPr="00DC66F3">
              <w:rPr>
                <w:b/>
                <w:lang w:val="en-GB"/>
              </w:rPr>
              <w:t>Antenna gain G</w:t>
            </w:r>
            <w:r w:rsidRPr="00DC66F3">
              <w:rPr>
                <w:b/>
                <w:vertAlign w:val="subscript"/>
                <w:lang w:val="en-GB"/>
              </w:rPr>
              <w:t>A</w:t>
            </w:r>
            <w:r w:rsidRPr="00DC66F3">
              <w:rPr>
                <w:b/>
                <w:lang w:val="en-GB"/>
              </w:rPr>
              <w:t xml:space="preserve"> &gt; 30dBi</w:t>
            </w:r>
            <w:r w:rsidR="0051494E">
              <w:rPr>
                <w:b/>
                <w:lang w:val="en-GB"/>
              </w:rPr>
              <w:t xml:space="preserve"> </w:t>
            </w:r>
            <w:r w:rsidR="0051494E" w:rsidRPr="00DC66F3">
              <w:rPr>
                <w:b/>
                <w:lang w:val="en-GB"/>
              </w:rPr>
              <w:t>*</w:t>
            </w:r>
          </w:p>
        </w:tc>
        <w:tc>
          <w:tcPr>
            <w:tcW w:w="1520" w:type="dxa"/>
            <w:shd w:val="clear" w:color="auto" w:fill="FBE4D5" w:themeFill="accent2" w:themeFillTint="33"/>
            <w:vAlign w:val="center"/>
          </w:tcPr>
          <w:p w14:paraId="4D1BF51A" w14:textId="5F56FC72" w:rsidR="000024C9" w:rsidRDefault="000024C9" w:rsidP="0003670E">
            <w:pPr>
              <w:keepNext/>
              <w:spacing w:beforeLines="40" w:before="96" w:afterLines="40" w:after="96"/>
              <w:jc w:val="center"/>
              <w:rPr>
                <w:lang w:val="en-GB"/>
              </w:rPr>
            </w:pPr>
            <w:r>
              <w:rPr>
                <w:lang w:val="en-GB"/>
              </w:rPr>
              <w:t>n/a</w:t>
            </w:r>
          </w:p>
        </w:tc>
        <w:tc>
          <w:tcPr>
            <w:tcW w:w="1175" w:type="dxa"/>
            <w:shd w:val="clear" w:color="auto" w:fill="FBE4D5" w:themeFill="accent2" w:themeFillTint="33"/>
            <w:vAlign w:val="center"/>
          </w:tcPr>
          <w:p w14:paraId="2C18244C" w14:textId="6127C0CA" w:rsidR="000024C9" w:rsidRDefault="000024C9" w:rsidP="0003670E">
            <w:pPr>
              <w:keepNext/>
              <w:spacing w:beforeLines="40" w:before="96" w:afterLines="40" w:after="96"/>
              <w:jc w:val="center"/>
              <w:rPr>
                <w:lang w:val="en-GB"/>
              </w:rPr>
            </w:pPr>
            <w:r>
              <w:rPr>
                <w:lang w:val="en-GB"/>
              </w:rPr>
              <w:t>n/a</w:t>
            </w:r>
          </w:p>
        </w:tc>
        <w:tc>
          <w:tcPr>
            <w:tcW w:w="1108" w:type="dxa"/>
            <w:shd w:val="clear" w:color="auto" w:fill="FBE4D5" w:themeFill="accent2" w:themeFillTint="33"/>
            <w:vAlign w:val="center"/>
          </w:tcPr>
          <w:p w14:paraId="35354C34" w14:textId="3CDF91CA" w:rsidR="000024C9" w:rsidRDefault="000024C9" w:rsidP="0003670E">
            <w:pPr>
              <w:keepNext/>
              <w:spacing w:beforeLines="40" w:before="96" w:afterLines="40" w:after="96"/>
              <w:jc w:val="center"/>
              <w:rPr>
                <w:lang w:val="en-GB"/>
              </w:rPr>
            </w:pPr>
            <w:r>
              <w:rPr>
                <w:lang w:val="en-GB"/>
              </w:rPr>
              <w:t>n/a</w:t>
            </w:r>
          </w:p>
        </w:tc>
        <w:tc>
          <w:tcPr>
            <w:tcW w:w="1086" w:type="dxa"/>
            <w:vAlign w:val="center"/>
          </w:tcPr>
          <w:p w14:paraId="58B94380" w14:textId="4AB8C50A" w:rsidR="000024C9" w:rsidRDefault="000024C9" w:rsidP="0003670E">
            <w:pPr>
              <w:keepNext/>
              <w:spacing w:beforeLines="40" w:before="96" w:afterLines="40" w:after="96"/>
              <w:jc w:val="center"/>
              <w:rPr>
                <w:lang w:val="en-GB"/>
              </w:rPr>
            </w:pPr>
            <w:r>
              <w:rPr>
                <w:lang w:val="en-GB"/>
              </w:rPr>
              <w:t>38</w:t>
            </w:r>
          </w:p>
        </w:tc>
        <w:tc>
          <w:tcPr>
            <w:tcW w:w="1196" w:type="dxa"/>
            <w:vAlign w:val="center"/>
          </w:tcPr>
          <w:p w14:paraId="565F72D2" w14:textId="204E32C9" w:rsidR="000024C9" w:rsidRDefault="000024C9" w:rsidP="0003670E">
            <w:pPr>
              <w:keepNext/>
              <w:spacing w:beforeLines="40" w:before="96" w:afterLines="40" w:after="96"/>
              <w:jc w:val="center"/>
              <w:rPr>
                <w:lang w:val="en-GB"/>
              </w:rPr>
            </w:pPr>
            <w:r>
              <w:rPr>
                <w:lang w:val="en-GB"/>
              </w:rPr>
              <w:t>38</w:t>
            </w:r>
          </w:p>
        </w:tc>
      </w:tr>
      <w:tr w:rsidR="000024C9" w14:paraId="34A0384B" w14:textId="77777777" w:rsidTr="001F25CF">
        <w:trPr>
          <w:trHeight w:val="734"/>
        </w:trPr>
        <w:tc>
          <w:tcPr>
            <w:tcW w:w="3570" w:type="dxa"/>
            <w:vAlign w:val="center"/>
          </w:tcPr>
          <w:p w14:paraId="64862EC1" w14:textId="6244ABAD" w:rsidR="000024C9" w:rsidRPr="00DC66F3" w:rsidRDefault="000024C9" w:rsidP="0003670E">
            <w:pPr>
              <w:keepNext/>
              <w:spacing w:beforeLines="40" w:before="96" w:afterLines="40" w:after="96"/>
              <w:rPr>
                <w:b/>
                <w:lang w:val="en-GB"/>
              </w:rPr>
            </w:pPr>
            <w:r w:rsidRPr="00DC66F3">
              <w:rPr>
                <w:b/>
                <w:lang w:val="en-GB"/>
              </w:rPr>
              <w:t>Maximum power (EIRP) (</w:t>
            </w:r>
            <w:proofErr w:type="spellStart"/>
            <w:r w:rsidRPr="00DC66F3">
              <w:rPr>
                <w:b/>
                <w:lang w:val="en-GB"/>
              </w:rPr>
              <w:t>dBm</w:t>
            </w:r>
            <w:proofErr w:type="spellEnd"/>
            <w:r w:rsidRPr="00DC66F3">
              <w:rPr>
                <w:b/>
                <w:lang w:val="en-GB"/>
              </w:rPr>
              <w:t>)</w:t>
            </w:r>
          </w:p>
        </w:tc>
        <w:tc>
          <w:tcPr>
            <w:tcW w:w="1520" w:type="dxa"/>
            <w:shd w:val="clear" w:color="auto" w:fill="FBE4D5" w:themeFill="accent2" w:themeFillTint="33"/>
            <w:vAlign w:val="center"/>
          </w:tcPr>
          <w:p w14:paraId="6D360D37" w14:textId="392BEA6B" w:rsidR="000024C9" w:rsidRDefault="000024C9" w:rsidP="0003670E">
            <w:pPr>
              <w:keepNext/>
              <w:spacing w:beforeLines="40" w:before="96" w:afterLines="40" w:after="96"/>
              <w:jc w:val="center"/>
              <w:rPr>
                <w:lang w:val="en-GB"/>
              </w:rPr>
            </w:pPr>
            <w:r>
              <w:rPr>
                <w:lang w:val="en-GB"/>
              </w:rPr>
              <w:t xml:space="preserve">40 </w:t>
            </w:r>
            <w:proofErr w:type="spellStart"/>
            <w:r>
              <w:rPr>
                <w:lang w:val="en-GB"/>
              </w:rPr>
              <w:t>avg</w:t>
            </w:r>
            <w:proofErr w:type="spellEnd"/>
            <w:r w:rsidR="0003670E">
              <w:rPr>
                <w:lang w:val="en-GB"/>
              </w:rPr>
              <w:t xml:space="preserve"> </w:t>
            </w:r>
            <w:r w:rsidRPr="0003670E">
              <w:rPr>
                <w:vertAlign w:val="superscript"/>
                <w:lang w:val="en-GB"/>
              </w:rPr>
              <w:t>+</w:t>
            </w:r>
          </w:p>
          <w:p w14:paraId="655BADB3" w14:textId="6EE3E79D" w:rsidR="000024C9" w:rsidRDefault="000024C9" w:rsidP="0003670E">
            <w:pPr>
              <w:keepNext/>
              <w:spacing w:beforeLines="40" w:before="96" w:afterLines="40" w:after="96"/>
              <w:jc w:val="center"/>
              <w:rPr>
                <w:lang w:val="en-GB"/>
              </w:rPr>
            </w:pPr>
            <w:r>
              <w:rPr>
                <w:lang w:val="en-GB"/>
              </w:rPr>
              <w:t>43 peak</w:t>
            </w:r>
          </w:p>
        </w:tc>
        <w:tc>
          <w:tcPr>
            <w:tcW w:w="1175" w:type="dxa"/>
            <w:shd w:val="clear" w:color="auto" w:fill="FBE4D5" w:themeFill="accent2" w:themeFillTint="33"/>
            <w:vAlign w:val="center"/>
          </w:tcPr>
          <w:p w14:paraId="0ABC8506" w14:textId="4496B99E" w:rsidR="000024C9" w:rsidRDefault="000024C9" w:rsidP="0003670E">
            <w:pPr>
              <w:keepNext/>
              <w:spacing w:beforeLines="40" w:before="96" w:afterLines="40" w:after="96"/>
              <w:jc w:val="center"/>
              <w:rPr>
                <w:lang w:val="en-GB"/>
              </w:rPr>
            </w:pPr>
            <w:r>
              <w:rPr>
                <w:lang w:val="en-GB"/>
              </w:rPr>
              <w:t>20</w:t>
            </w:r>
          </w:p>
        </w:tc>
        <w:tc>
          <w:tcPr>
            <w:tcW w:w="1108" w:type="dxa"/>
            <w:shd w:val="clear" w:color="auto" w:fill="FBE4D5" w:themeFill="accent2" w:themeFillTint="33"/>
            <w:vAlign w:val="center"/>
          </w:tcPr>
          <w:p w14:paraId="7D47E1A9" w14:textId="4BC33008" w:rsidR="000024C9" w:rsidRDefault="000024C9" w:rsidP="0003670E">
            <w:pPr>
              <w:keepNext/>
              <w:spacing w:beforeLines="40" w:before="96" w:afterLines="40" w:after="96"/>
              <w:jc w:val="center"/>
              <w:rPr>
                <w:lang w:val="en-GB"/>
              </w:rPr>
            </w:pPr>
            <w:r>
              <w:rPr>
                <w:lang w:val="en-GB"/>
              </w:rPr>
              <w:t>40</w:t>
            </w:r>
          </w:p>
        </w:tc>
        <w:tc>
          <w:tcPr>
            <w:tcW w:w="1086" w:type="dxa"/>
            <w:vAlign w:val="center"/>
          </w:tcPr>
          <w:p w14:paraId="49A91039" w14:textId="34142026" w:rsidR="000024C9" w:rsidRDefault="000024C9" w:rsidP="0003670E">
            <w:pPr>
              <w:keepNext/>
              <w:spacing w:beforeLines="40" w:before="96" w:afterLines="40" w:after="96"/>
              <w:jc w:val="center"/>
              <w:rPr>
                <w:lang w:val="en-GB"/>
              </w:rPr>
            </w:pPr>
            <w:r>
              <w:rPr>
                <w:lang w:val="en-GB"/>
              </w:rPr>
              <w:t>40</w:t>
            </w:r>
          </w:p>
        </w:tc>
        <w:tc>
          <w:tcPr>
            <w:tcW w:w="1196" w:type="dxa"/>
            <w:vAlign w:val="center"/>
          </w:tcPr>
          <w:p w14:paraId="75E0300C" w14:textId="3BBDF09C" w:rsidR="000024C9" w:rsidRDefault="000024C9" w:rsidP="0003670E">
            <w:pPr>
              <w:keepNext/>
              <w:spacing w:beforeLines="40" w:before="96" w:afterLines="40" w:after="96"/>
              <w:jc w:val="center"/>
              <w:rPr>
                <w:lang w:val="en-GB"/>
              </w:rPr>
            </w:pPr>
            <w:r>
              <w:rPr>
                <w:lang w:val="en-GB"/>
              </w:rPr>
              <w:t>40</w:t>
            </w:r>
          </w:p>
        </w:tc>
      </w:tr>
      <w:tr w:rsidR="000024C9" w14:paraId="70585922" w14:textId="77777777" w:rsidTr="001F25CF">
        <w:tc>
          <w:tcPr>
            <w:tcW w:w="3570" w:type="dxa"/>
            <w:vAlign w:val="center"/>
          </w:tcPr>
          <w:p w14:paraId="2E0D8403" w14:textId="78973D1E" w:rsidR="000024C9" w:rsidRPr="00DC66F3" w:rsidRDefault="000024C9" w:rsidP="0003670E">
            <w:pPr>
              <w:spacing w:beforeLines="40" w:before="96" w:afterLines="40" w:after="96"/>
              <w:ind w:left="568"/>
              <w:rPr>
                <w:b/>
                <w:lang w:val="en-GB"/>
              </w:rPr>
            </w:pPr>
            <w:r w:rsidRPr="00DC66F3">
              <w:rPr>
                <w:b/>
                <w:lang w:val="en-GB"/>
              </w:rPr>
              <w:t>Antenna gain G</w:t>
            </w:r>
            <w:r w:rsidRPr="00DC66F3">
              <w:rPr>
                <w:b/>
                <w:vertAlign w:val="subscript"/>
                <w:lang w:val="en-GB"/>
              </w:rPr>
              <w:t>A</w:t>
            </w:r>
            <w:r w:rsidRPr="00DC66F3">
              <w:rPr>
                <w:b/>
                <w:lang w:val="en-GB"/>
              </w:rPr>
              <w:t xml:space="preserve"> </w:t>
            </w:r>
            <w:r w:rsidR="0051494E">
              <w:rPr>
                <w:b/>
                <w:lang w:val="en-GB"/>
              </w:rPr>
              <w:t>&lt;</w:t>
            </w:r>
            <w:r w:rsidRPr="00DC66F3">
              <w:rPr>
                <w:b/>
                <w:lang w:val="en-GB"/>
              </w:rPr>
              <w:t xml:space="preserve"> 13dBi</w:t>
            </w:r>
          </w:p>
        </w:tc>
        <w:tc>
          <w:tcPr>
            <w:tcW w:w="1520" w:type="dxa"/>
            <w:shd w:val="clear" w:color="auto" w:fill="FBE4D5" w:themeFill="accent2" w:themeFillTint="33"/>
            <w:vAlign w:val="center"/>
          </w:tcPr>
          <w:p w14:paraId="213251EA" w14:textId="6BBD4572" w:rsidR="000024C9" w:rsidRDefault="000024C9" w:rsidP="0003670E">
            <w:pPr>
              <w:spacing w:beforeLines="40" w:before="96" w:afterLines="40" w:after="96"/>
              <w:jc w:val="center"/>
              <w:rPr>
                <w:lang w:val="en-GB"/>
              </w:rPr>
            </w:pPr>
            <w:r>
              <w:rPr>
                <w:lang w:val="en-GB"/>
              </w:rPr>
              <w:t>n/a</w:t>
            </w:r>
          </w:p>
        </w:tc>
        <w:tc>
          <w:tcPr>
            <w:tcW w:w="1175" w:type="dxa"/>
            <w:shd w:val="clear" w:color="auto" w:fill="FBE4D5" w:themeFill="accent2" w:themeFillTint="33"/>
            <w:vAlign w:val="center"/>
          </w:tcPr>
          <w:p w14:paraId="578E21AF" w14:textId="7E79C974" w:rsidR="000024C9" w:rsidRDefault="000024C9" w:rsidP="0003670E">
            <w:pPr>
              <w:spacing w:beforeLines="40" w:before="96" w:afterLines="40" w:after="96"/>
              <w:jc w:val="center"/>
              <w:rPr>
                <w:lang w:val="en-GB"/>
              </w:rPr>
            </w:pPr>
            <w:r>
              <w:rPr>
                <w:lang w:val="en-GB"/>
              </w:rPr>
              <w:t>n/a</w:t>
            </w:r>
          </w:p>
        </w:tc>
        <w:tc>
          <w:tcPr>
            <w:tcW w:w="1108" w:type="dxa"/>
            <w:shd w:val="clear" w:color="auto" w:fill="FBE4D5" w:themeFill="accent2" w:themeFillTint="33"/>
            <w:vAlign w:val="center"/>
          </w:tcPr>
          <w:p w14:paraId="02AF1211" w14:textId="26FF3A7C" w:rsidR="000024C9" w:rsidRDefault="000024C9" w:rsidP="0003670E">
            <w:pPr>
              <w:spacing w:beforeLines="40" w:before="96" w:afterLines="40" w:after="96"/>
              <w:jc w:val="center"/>
              <w:rPr>
                <w:lang w:val="en-GB"/>
              </w:rPr>
            </w:pPr>
            <w:r>
              <w:rPr>
                <w:lang w:val="en-GB"/>
              </w:rPr>
              <w:t>n/a</w:t>
            </w:r>
          </w:p>
        </w:tc>
        <w:tc>
          <w:tcPr>
            <w:tcW w:w="1086" w:type="dxa"/>
            <w:vAlign w:val="center"/>
          </w:tcPr>
          <w:p w14:paraId="1154C156" w14:textId="342723ED" w:rsidR="000024C9" w:rsidRDefault="000024C9" w:rsidP="0003670E">
            <w:pPr>
              <w:spacing w:beforeLines="40" w:before="96" w:afterLines="40" w:after="96"/>
              <w:jc w:val="center"/>
              <w:rPr>
                <w:lang w:val="en-GB"/>
              </w:rPr>
            </w:pPr>
            <w:r>
              <w:rPr>
                <w:lang w:val="en-GB"/>
              </w:rPr>
              <w:t>27 + G</w:t>
            </w:r>
            <w:r w:rsidRPr="00DC66F3">
              <w:rPr>
                <w:vertAlign w:val="subscript"/>
                <w:lang w:val="en-GB"/>
              </w:rPr>
              <w:t>A</w:t>
            </w:r>
          </w:p>
        </w:tc>
        <w:tc>
          <w:tcPr>
            <w:tcW w:w="1196" w:type="dxa"/>
            <w:vAlign w:val="center"/>
          </w:tcPr>
          <w:p w14:paraId="7B89CBB2" w14:textId="240D545C" w:rsidR="000024C9" w:rsidRDefault="000024C9" w:rsidP="0003670E">
            <w:pPr>
              <w:spacing w:beforeLines="40" w:before="96" w:afterLines="40" w:after="96"/>
              <w:jc w:val="center"/>
              <w:rPr>
                <w:lang w:val="en-GB"/>
              </w:rPr>
            </w:pPr>
            <w:r>
              <w:rPr>
                <w:lang w:val="en-GB"/>
              </w:rPr>
              <w:t>40</w:t>
            </w:r>
          </w:p>
        </w:tc>
      </w:tr>
      <w:tr w:rsidR="00335531" w14:paraId="69CCDB33" w14:textId="77777777" w:rsidTr="001F25CF">
        <w:tc>
          <w:tcPr>
            <w:tcW w:w="3570" w:type="dxa"/>
            <w:vAlign w:val="center"/>
          </w:tcPr>
          <w:p w14:paraId="72A51BF2" w14:textId="77777777" w:rsidR="001A4DA8" w:rsidRPr="00DC66F3" w:rsidRDefault="001A4DA8" w:rsidP="00335531">
            <w:pPr>
              <w:keepNext/>
              <w:spacing w:beforeLines="40" w:before="96" w:afterLines="40" w:after="96"/>
              <w:ind w:left="568"/>
              <w:rPr>
                <w:b/>
                <w:lang w:val="en-GB"/>
              </w:rPr>
            </w:pPr>
            <w:r w:rsidRPr="00DC66F3">
              <w:rPr>
                <w:b/>
                <w:lang w:val="en-GB"/>
              </w:rPr>
              <w:t>Antenna gain G</w:t>
            </w:r>
            <w:r w:rsidRPr="00DC66F3">
              <w:rPr>
                <w:b/>
                <w:vertAlign w:val="subscript"/>
                <w:lang w:val="en-GB"/>
              </w:rPr>
              <w:t>A</w:t>
            </w:r>
            <w:r w:rsidRPr="00DC66F3">
              <w:rPr>
                <w:b/>
                <w:lang w:val="en-GB"/>
              </w:rPr>
              <w:t xml:space="preserve"> &gt; 30dBi</w:t>
            </w:r>
            <w:r>
              <w:rPr>
                <w:b/>
                <w:lang w:val="en-GB"/>
              </w:rPr>
              <w:t xml:space="preserve"> </w:t>
            </w:r>
            <w:r w:rsidRPr="00DC66F3">
              <w:rPr>
                <w:b/>
                <w:lang w:val="en-GB"/>
              </w:rPr>
              <w:t>*</w:t>
            </w:r>
          </w:p>
        </w:tc>
        <w:tc>
          <w:tcPr>
            <w:tcW w:w="1520" w:type="dxa"/>
            <w:shd w:val="clear" w:color="auto" w:fill="FBE4D5" w:themeFill="accent2" w:themeFillTint="33"/>
            <w:vAlign w:val="center"/>
          </w:tcPr>
          <w:p w14:paraId="432E1930" w14:textId="77777777" w:rsidR="001A4DA8" w:rsidRDefault="001A4DA8" w:rsidP="00335531">
            <w:pPr>
              <w:keepNext/>
              <w:spacing w:beforeLines="40" w:before="96" w:afterLines="40" w:after="96"/>
              <w:jc w:val="center"/>
              <w:rPr>
                <w:lang w:val="en-GB"/>
              </w:rPr>
            </w:pPr>
            <w:r>
              <w:rPr>
                <w:lang w:val="en-GB"/>
              </w:rPr>
              <w:t>n/a</w:t>
            </w:r>
          </w:p>
        </w:tc>
        <w:tc>
          <w:tcPr>
            <w:tcW w:w="1175" w:type="dxa"/>
            <w:shd w:val="clear" w:color="auto" w:fill="FBE4D5" w:themeFill="accent2" w:themeFillTint="33"/>
            <w:vAlign w:val="center"/>
          </w:tcPr>
          <w:p w14:paraId="5A890D18" w14:textId="77777777" w:rsidR="001A4DA8" w:rsidRDefault="001A4DA8" w:rsidP="00335531">
            <w:pPr>
              <w:keepNext/>
              <w:spacing w:beforeLines="40" w:before="96" w:afterLines="40" w:after="96"/>
              <w:jc w:val="center"/>
              <w:rPr>
                <w:lang w:val="en-GB"/>
              </w:rPr>
            </w:pPr>
            <w:r>
              <w:rPr>
                <w:lang w:val="en-GB"/>
              </w:rPr>
              <w:t>n/a</w:t>
            </w:r>
          </w:p>
        </w:tc>
        <w:tc>
          <w:tcPr>
            <w:tcW w:w="1108" w:type="dxa"/>
            <w:shd w:val="clear" w:color="auto" w:fill="FBE4D5" w:themeFill="accent2" w:themeFillTint="33"/>
            <w:vAlign w:val="center"/>
          </w:tcPr>
          <w:p w14:paraId="56C83692" w14:textId="77777777" w:rsidR="001A4DA8" w:rsidRDefault="001A4DA8" w:rsidP="00335531">
            <w:pPr>
              <w:keepNext/>
              <w:spacing w:beforeLines="40" w:before="96" w:afterLines="40" w:after="96"/>
              <w:jc w:val="center"/>
              <w:rPr>
                <w:lang w:val="en-GB"/>
              </w:rPr>
            </w:pPr>
            <w:r>
              <w:rPr>
                <w:lang w:val="en-GB"/>
              </w:rPr>
              <w:t>n/a</w:t>
            </w:r>
          </w:p>
        </w:tc>
        <w:tc>
          <w:tcPr>
            <w:tcW w:w="1086" w:type="dxa"/>
            <w:vAlign w:val="center"/>
          </w:tcPr>
          <w:p w14:paraId="59E26B9C" w14:textId="77777777" w:rsidR="001A4DA8" w:rsidRDefault="001A4DA8" w:rsidP="00335531">
            <w:pPr>
              <w:keepNext/>
              <w:spacing w:beforeLines="40" w:before="96" w:afterLines="40" w:after="96"/>
              <w:jc w:val="center"/>
              <w:rPr>
                <w:lang w:val="en-GB"/>
              </w:rPr>
            </w:pPr>
            <w:r>
              <w:rPr>
                <w:lang w:val="en-GB"/>
              </w:rPr>
              <w:t>55</w:t>
            </w:r>
          </w:p>
        </w:tc>
        <w:tc>
          <w:tcPr>
            <w:tcW w:w="1196" w:type="dxa"/>
            <w:vAlign w:val="center"/>
          </w:tcPr>
          <w:p w14:paraId="5E472114" w14:textId="77777777" w:rsidR="001A4DA8" w:rsidRDefault="001A4DA8" w:rsidP="00335531">
            <w:pPr>
              <w:keepNext/>
              <w:spacing w:beforeLines="40" w:before="96" w:afterLines="40" w:after="96"/>
              <w:jc w:val="center"/>
              <w:rPr>
                <w:lang w:val="en-GB"/>
              </w:rPr>
            </w:pPr>
            <w:r>
              <w:rPr>
                <w:lang w:val="en-GB"/>
              </w:rPr>
              <w:t>55</w:t>
            </w:r>
          </w:p>
        </w:tc>
      </w:tr>
      <w:tr w:rsidR="0003670E" w14:paraId="3B4AB25B" w14:textId="77777777" w:rsidTr="001F25CF">
        <w:tc>
          <w:tcPr>
            <w:tcW w:w="3570" w:type="dxa"/>
            <w:vAlign w:val="center"/>
          </w:tcPr>
          <w:p w14:paraId="658A29A0" w14:textId="2C12F0A7" w:rsidR="0003670E" w:rsidRPr="00DC66F3" w:rsidRDefault="0003670E" w:rsidP="0003670E">
            <w:pPr>
              <w:spacing w:beforeLines="40" w:before="96" w:afterLines="40" w:after="96"/>
              <w:ind w:left="568"/>
              <w:rPr>
                <w:b/>
                <w:lang w:val="en-GB"/>
              </w:rPr>
            </w:pPr>
            <w:r w:rsidRPr="00DC66F3">
              <w:rPr>
                <w:b/>
                <w:lang w:val="en-GB"/>
              </w:rPr>
              <w:t>Antenna gain G</w:t>
            </w:r>
            <w:r w:rsidRPr="00DC66F3">
              <w:rPr>
                <w:b/>
                <w:vertAlign w:val="subscript"/>
                <w:lang w:val="en-GB"/>
              </w:rPr>
              <w:t>A</w:t>
            </w:r>
            <w:r w:rsidRPr="00DC66F3">
              <w:rPr>
                <w:b/>
                <w:lang w:val="en-GB"/>
              </w:rPr>
              <w:t xml:space="preserve"> </w:t>
            </w:r>
            <w:r>
              <w:rPr>
                <w:b/>
                <w:lang w:val="en-GB"/>
              </w:rPr>
              <w:t>&gt; 51</w:t>
            </w:r>
            <w:r w:rsidRPr="00DC66F3">
              <w:rPr>
                <w:b/>
                <w:lang w:val="en-GB"/>
              </w:rPr>
              <w:t>dBi</w:t>
            </w:r>
            <w:r>
              <w:rPr>
                <w:b/>
                <w:lang w:val="en-GB"/>
              </w:rPr>
              <w:t xml:space="preserve"> </w:t>
            </w:r>
            <w:r w:rsidRPr="000024C9">
              <w:rPr>
                <w:b/>
                <w:vertAlign w:val="superscript"/>
                <w:lang w:val="en-GB"/>
              </w:rPr>
              <w:t>#</w:t>
            </w:r>
          </w:p>
        </w:tc>
        <w:tc>
          <w:tcPr>
            <w:tcW w:w="1520" w:type="dxa"/>
            <w:shd w:val="clear" w:color="auto" w:fill="FBE4D5" w:themeFill="accent2" w:themeFillTint="33"/>
            <w:vAlign w:val="center"/>
          </w:tcPr>
          <w:p w14:paraId="43C196F2" w14:textId="77777777" w:rsidR="0003670E" w:rsidRDefault="0003670E" w:rsidP="0003670E">
            <w:pPr>
              <w:spacing w:beforeLines="40" w:before="96" w:afterLines="40" w:after="96"/>
              <w:jc w:val="center"/>
              <w:rPr>
                <w:lang w:val="en-GB"/>
              </w:rPr>
            </w:pPr>
            <w:r>
              <w:rPr>
                <w:lang w:val="en-GB"/>
              </w:rPr>
              <w:t>82</w:t>
            </w:r>
            <w:r w:rsidR="00DE398B">
              <w:rPr>
                <w:lang w:val="en-GB"/>
              </w:rPr>
              <w:t xml:space="preserve"> </w:t>
            </w:r>
            <w:proofErr w:type="spellStart"/>
            <w:r w:rsidR="00DE398B">
              <w:rPr>
                <w:lang w:val="en-GB"/>
              </w:rPr>
              <w:t>avg</w:t>
            </w:r>
            <w:proofErr w:type="spellEnd"/>
          </w:p>
          <w:p w14:paraId="006BD3DE" w14:textId="4F70A842" w:rsidR="00DE398B" w:rsidRDefault="00DE398B" w:rsidP="0003670E">
            <w:pPr>
              <w:spacing w:beforeLines="40" w:before="96" w:afterLines="40" w:after="96"/>
              <w:jc w:val="center"/>
              <w:rPr>
                <w:lang w:val="en-GB"/>
              </w:rPr>
            </w:pPr>
            <w:r>
              <w:rPr>
                <w:lang w:val="en-GB"/>
              </w:rPr>
              <w:t>85 peak</w:t>
            </w:r>
          </w:p>
        </w:tc>
        <w:tc>
          <w:tcPr>
            <w:tcW w:w="1175" w:type="dxa"/>
            <w:shd w:val="clear" w:color="auto" w:fill="FBE4D5" w:themeFill="accent2" w:themeFillTint="33"/>
            <w:vAlign w:val="center"/>
          </w:tcPr>
          <w:p w14:paraId="43AB9EF9" w14:textId="5300F0B4" w:rsidR="0003670E" w:rsidRDefault="0003670E" w:rsidP="0003670E">
            <w:pPr>
              <w:spacing w:beforeLines="40" w:before="96" w:afterLines="40" w:after="96"/>
              <w:jc w:val="center"/>
              <w:rPr>
                <w:lang w:val="en-GB"/>
              </w:rPr>
            </w:pPr>
            <w:r>
              <w:rPr>
                <w:lang w:val="en-GB"/>
              </w:rPr>
              <w:t>n/a</w:t>
            </w:r>
          </w:p>
        </w:tc>
        <w:tc>
          <w:tcPr>
            <w:tcW w:w="1108" w:type="dxa"/>
            <w:shd w:val="clear" w:color="auto" w:fill="FBE4D5" w:themeFill="accent2" w:themeFillTint="33"/>
            <w:vAlign w:val="center"/>
          </w:tcPr>
          <w:p w14:paraId="29FEA08F" w14:textId="3F5EE96B" w:rsidR="0003670E" w:rsidRDefault="0003670E" w:rsidP="0003670E">
            <w:pPr>
              <w:spacing w:beforeLines="40" w:before="96" w:afterLines="40" w:after="96"/>
              <w:jc w:val="center"/>
              <w:rPr>
                <w:lang w:val="en-GB"/>
              </w:rPr>
            </w:pPr>
            <w:r>
              <w:rPr>
                <w:lang w:val="en-GB"/>
              </w:rPr>
              <w:t>n/a</w:t>
            </w:r>
          </w:p>
        </w:tc>
        <w:tc>
          <w:tcPr>
            <w:tcW w:w="1086" w:type="dxa"/>
            <w:vAlign w:val="center"/>
          </w:tcPr>
          <w:p w14:paraId="286254AF" w14:textId="145C2928" w:rsidR="0003670E" w:rsidRDefault="0003670E" w:rsidP="0003670E">
            <w:pPr>
              <w:spacing w:beforeLines="40" w:before="96" w:afterLines="40" w:after="96"/>
              <w:jc w:val="center"/>
              <w:rPr>
                <w:lang w:val="en-GB"/>
              </w:rPr>
            </w:pPr>
            <w:r>
              <w:rPr>
                <w:lang w:val="en-GB"/>
              </w:rPr>
              <w:t>n/a</w:t>
            </w:r>
          </w:p>
        </w:tc>
        <w:tc>
          <w:tcPr>
            <w:tcW w:w="1196" w:type="dxa"/>
            <w:vAlign w:val="center"/>
          </w:tcPr>
          <w:p w14:paraId="5F578308" w14:textId="35E11EFB" w:rsidR="0003670E" w:rsidRDefault="0003670E" w:rsidP="0003670E">
            <w:pPr>
              <w:spacing w:beforeLines="40" w:before="96" w:afterLines="40" w:after="96"/>
              <w:jc w:val="center"/>
              <w:rPr>
                <w:lang w:val="en-GB"/>
              </w:rPr>
            </w:pPr>
            <w:r>
              <w:rPr>
                <w:lang w:val="en-GB"/>
              </w:rPr>
              <w:t>n/a</w:t>
            </w:r>
          </w:p>
        </w:tc>
      </w:tr>
      <w:tr w:rsidR="0003670E" w14:paraId="63084514" w14:textId="77777777" w:rsidTr="001F25CF">
        <w:tc>
          <w:tcPr>
            <w:tcW w:w="3570" w:type="dxa"/>
            <w:vAlign w:val="center"/>
          </w:tcPr>
          <w:p w14:paraId="3BA92ED7" w14:textId="74C89E5F" w:rsidR="0003670E" w:rsidRPr="00DC66F3" w:rsidRDefault="0003670E" w:rsidP="0003670E">
            <w:pPr>
              <w:spacing w:beforeLines="40" w:before="96" w:afterLines="40" w:after="96"/>
              <w:ind w:left="568"/>
              <w:rPr>
                <w:b/>
                <w:lang w:val="en-GB"/>
              </w:rPr>
            </w:pPr>
            <w:r w:rsidRPr="00DC66F3">
              <w:rPr>
                <w:b/>
                <w:lang w:val="en-GB"/>
              </w:rPr>
              <w:t>Antenna gain G</w:t>
            </w:r>
            <w:r w:rsidRPr="00DC66F3">
              <w:rPr>
                <w:b/>
                <w:vertAlign w:val="subscript"/>
                <w:lang w:val="en-GB"/>
              </w:rPr>
              <w:t>A</w:t>
            </w:r>
            <w:r w:rsidRPr="00DC66F3">
              <w:rPr>
                <w:b/>
                <w:lang w:val="en-GB"/>
              </w:rPr>
              <w:t xml:space="preserve"> </w:t>
            </w:r>
            <w:r>
              <w:rPr>
                <w:b/>
                <w:lang w:val="en-GB"/>
              </w:rPr>
              <w:t>&lt; 51</w:t>
            </w:r>
            <w:r w:rsidRPr="00DC66F3">
              <w:rPr>
                <w:b/>
                <w:lang w:val="en-GB"/>
              </w:rPr>
              <w:t>dBi</w:t>
            </w:r>
            <w:r>
              <w:rPr>
                <w:b/>
                <w:lang w:val="en-GB"/>
              </w:rPr>
              <w:t xml:space="preserve"> </w:t>
            </w:r>
            <w:r w:rsidRPr="000024C9">
              <w:rPr>
                <w:b/>
                <w:vertAlign w:val="superscript"/>
                <w:lang w:val="en-GB"/>
              </w:rPr>
              <w:t>#</w:t>
            </w:r>
          </w:p>
        </w:tc>
        <w:tc>
          <w:tcPr>
            <w:tcW w:w="1520" w:type="dxa"/>
            <w:shd w:val="clear" w:color="auto" w:fill="FBE4D5" w:themeFill="accent2" w:themeFillTint="33"/>
            <w:vAlign w:val="center"/>
          </w:tcPr>
          <w:p w14:paraId="6476C984" w14:textId="64549367" w:rsidR="0003670E" w:rsidRDefault="0003670E" w:rsidP="0003670E">
            <w:pPr>
              <w:spacing w:beforeLines="40" w:before="96" w:afterLines="40" w:after="96"/>
              <w:jc w:val="center"/>
              <w:rPr>
                <w:lang w:val="en-GB"/>
              </w:rPr>
            </w:pPr>
            <w:r>
              <w:rPr>
                <w:lang w:val="en-GB"/>
              </w:rPr>
              <w:t>82 - 2(51 - G</w:t>
            </w:r>
            <w:r w:rsidRPr="00DC66F3">
              <w:rPr>
                <w:vertAlign w:val="subscript"/>
                <w:lang w:val="en-GB"/>
              </w:rPr>
              <w:t>A</w:t>
            </w:r>
            <w:r>
              <w:rPr>
                <w:lang w:val="en-GB"/>
              </w:rPr>
              <w:t>)</w:t>
            </w:r>
          </w:p>
        </w:tc>
        <w:tc>
          <w:tcPr>
            <w:tcW w:w="1175" w:type="dxa"/>
            <w:shd w:val="clear" w:color="auto" w:fill="FBE4D5" w:themeFill="accent2" w:themeFillTint="33"/>
            <w:vAlign w:val="center"/>
          </w:tcPr>
          <w:p w14:paraId="3C1DBDDF" w14:textId="771030BC" w:rsidR="0003670E" w:rsidRDefault="0003670E" w:rsidP="0003670E">
            <w:pPr>
              <w:spacing w:beforeLines="40" w:before="96" w:afterLines="40" w:after="96"/>
              <w:jc w:val="center"/>
              <w:rPr>
                <w:lang w:val="en-GB"/>
              </w:rPr>
            </w:pPr>
            <w:r>
              <w:rPr>
                <w:lang w:val="en-GB"/>
              </w:rPr>
              <w:t>n/a</w:t>
            </w:r>
          </w:p>
        </w:tc>
        <w:tc>
          <w:tcPr>
            <w:tcW w:w="1108" w:type="dxa"/>
            <w:shd w:val="clear" w:color="auto" w:fill="FBE4D5" w:themeFill="accent2" w:themeFillTint="33"/>
            <w:vAlign w:val="center"/>
          </w:tcPr>
          <w:p w14:paraId="5C09E396" w14:textId="5E3B1BB2" w:rsidR="0003670E" w:rsidRDefault="0003670E" w:rsidP="0003670E">
            <w:pPr>
              <w:spacing w:beforeLines="40" w:before="96" w:afterLines="40" w:after="96"/>
              <w:jc w:val="center"/>
              <w:rPr>
                <w:lang w:val="en-GB"/>
              </w:rPr>
            </w:pPr>
            <w:r>
              <w:rPr>
                <w:lang w:val="en-GB"/>
              </w:rPr>
              <w:t>n/a</w:t>
            </w:r>
          </w:p>
        </w:tc>
        <w:tc>
          <w:tcPr>
            <w:tcW w:w="1086" w:type="dxa"/>
            <w:vAlign w:val="center"/>
          </w:tcPr>
          <w:p w14:paraId="026CC797" w14:textId="30F6F768" w:rsidR="0003670E" w:rsidRDefault="0003670E" w:rsidP="0003670E">
            <w:pPr>
              <w:spacing w:beforeLines="40" w:before="96" w:afterLines="40" w:after="96"/>
              <w:jc w:val="center"/>
              <w:rPr>
                <w:lang w:val="en-GB"/>
              </w:rPr>
            </w:pPr>
            <w:r>
              <w:rPr>
                <w:lang w:val="en-GB"/>
              </w:rPr>
              <w:t>n/a</w:t>
            </w:r>
          </w:p>
        </w:tc>
        <w:tc>
          <w:tcPr>
            <w:tcW w:w="1196" w:type="dxa"/>
            <w:vAlign w:val="center"/>
          </w:tcPr>
          <w:p w14:paraId="22319405" w14:textId="3EFD6151" w:rsidR="0003670E" w:rsidRDefault="0003670E" w:rsidP="0003670E">
            <w:pPr>
              <w:spacing w:beforeLines="40" w:before="96" w:afterLines="40" w:after="96"/>
              <w:jc w:val="center"/>
              <w:rPr>
                <w:lang w:val="en-GB"/>
              </w:rPr>
            </w:pPr>
            <w:r>
              <w:rPr>
                <w:lang w:val="en-GB"/>
              </w:rPr>
              <w:t>n/a</w:t>
            </w:r>
          </w:p>
        </w:tc>
      </w:tr>
      <w:tr w:rsidR="000024C9" w14:paraId="0634CFBC" w14:textId="77777777" w:rsidTr="001F25CF">
        <w:tc>
          <w:tcPr>
            <w:tcW w:w="9655" w:type="dxa"/>
            <w:gridSpan w:val="6"/>
            <w:vAlign w:val="center"/>
          </w:tcPr>
          <w:p w14:paraId="1E0A24DC" w14:textId="79CEA9E6" w:rsidR="000024C9" w:rsidRDefault="000024C9" w:rsidP="0003670E">
            <w:pPr>
              <w:spacing w:beforeLines="40" w:before="96" w:afterLines="40" w:after="96"/>
              <w:rPr>
                <w:lang w:val="en-GB"/>
              </w:rPr>
            </w:pPr>
            <w:r>
              <w:rPr>
                <w:lang w:val="en-GB"/>
              </w:rPr>
              <w:t xml:space="preserve">*  </w:t>
            </w:r>
            <w:r w:rsidRPr="00DC66F3">
              <w:rPr>
                <w:lang w:val="en-GB"/>
              </w:rPr>
              <w:t>Fixed outdoor installations only</w:t>
            </w:r>
            <w:r w:rsidR="0003670E">
              <w:rPr>
                <w:lang w:val="en-GB"/>
              </w:rPr>
              <w:t xml:space="preserve">, </w:t>
            </w:r>
            <w:r w:rsidR="0003670E" w:rsidRPr="0003670E">
              <w:rPr>
                <w:vertAlign w:val="superscript"/>
                <w:lang w:val="en-GB"/>
              </w:rPr>
              <w:t>+</w:t>
            </w:r>
            <w:r w:rsidR="0003670E">
              <w:rPr>
                <w:lang w:val="en-GB"/>
              </w:rPr>
              <w:t xml:space="preserve"> </w:t>
            </w:r>
            <w:r>
              <w:rPr>
                <w:lang w:val="en-GB"/>
              </w:rPr>
              <w:t>Indoor</w:t>
            </w:r>
            <w:r w:rsidR="0003670E">
              <w:rPr>
                <w:lang w:val="en-GB"/>
              </w:rPr>
              <w:t xml:space="preserve">, </w:t>
            </w:r>
            <w:r>
              <w:rPr>
                <w:lang w:val="en-GB"/>
              </w:rPr>
              <w:t xml:space="preserve"> </w:t>
            </w:r>
            <w:r w:rsidR="0003670E" w:rsidRPr="000024C9">
              <w:rPr>
                <w:b/>
                <w:vertAlign w:val="superscript"/>
                <w:lang w:val="en-GB"/>
              </w:rPr>
              <w:t>#</w:t>
            </w:r>
            <w:r w:rsidR="0003670E">
              <w:rPr>
                <w:lang w:val="en-GB"/>
              </w:rPr>
              <w:t xml:space="preserve"> </w:t>
            </w:r>
            <w:r>
              <w:rPr>
                <w:lang w:val="en-GB"/>
              </w:rPr>
              <w:t>Outdoor</w:t>
            </w:r>
            <w:r w:rsidR="009A1370">
              <w:rPr>
                <w:lang w:val="en-GB"/>
              </w:rPr>
              <w:t xml:space="preserve">, </w:t>
            </w:r>
            <w:r w:rsidR="009A1370">
              <w:rPr>
                <w:rFonts w:ascii="Arial" w:hAnsi="Arial" w:cs="Arial"/>
                <w:lang w:val="en-GB"/>
              </w:rPr>
              <w:t>¥</w:t>
            </w:r>
            <w:r w:rsidR="009A1370">
              <w:rPr>
                <w:rFonts w:ascii="Arial" w:hAnsi="Arial" w:cs="Arial"/>
                <w:lang w:val="en-GB"/>
              </w:rPr>
              <w:t xml:space="preserve"> </w:t>
            </w:r>
            <w:r w:rsidR="0090032F">
              <w:rPr>
                <w:rFonts w:ascii="Arial" w:hAnsi="Arial" w:cs="Arial"/>
                <w:lang w:val="en-GB"/>
              </w:rPr>
              <w:t xml:space="preserve">Max 500mW for </w:t>
            </w:r>
            <w:r w:rsidR="0090032F" w:rsidRPr="009A1370">
              <w:rPr>
                <w:rFonts w:ascii="Arial" w:hAnsi="Arial" w:cs="Arial"/>
                <w:lang w:val="en-GB"/>
              </w:rPr>
              <w:t>emission-BW</w:t>
            </w:r>
            <w:r w:rsidR="0090032F">
              <w:rPr>
                <w:rFonts w:ascii="Arial" w:hAnsi="Arial" w:cs="Arial"/>
                <w:lang w:val="en-GB"/>
              </w:rPr>
              <w:t xml:space="preserve"> larger than 100MHz, else </w:t>
            </w:r>
            <w:r w:rsidR="009A1370" w:rsidRPr="009A1370">
              <w:rPr>
                <w:rFonts w:ascii="Arial" w:hAnsi="Arial" w:cs="Arial"/>
                <w:lang w:val="en-GB"/>
              </w:rPr>
              <w:t>500mW × emission-BW / 100MHz</w:t>
            </w:r>
          </w:p>
        </w:tc>
      </w:tr>
    </w:tbl>
    <w:p w14:paraId="4075A9C0" w14:textId="77777777" w:rsidR="00CA3ADF" w:rsidRDefault="00CA3ADF" w:rsidP="00A35DF7">
      <w:pPr>
        <w:rPr>
          <w:lang w:val="en-GB"/>
        </w:rPr>
      </w:pPr>
    </w:p>
    <w:p w14:paraId="1C0D44B1" w14:textId="0AF8CFFE" w:rsidR="00C52E94" w:rsidRPr="00A35DF7" w:rsidRDefault="00C52E94" w:rsidP="00A35DF7">
      <w:pPr>
        <w:rPr>
          <w:lang w:val="en-GB"/>
        </w:rPr>
      </w:pPr>
      <w:r>
        <w:rPr>
          <w:lang w:val="en-GB"/>
        </w:rPr>
        <w:t xml:space="preserve">The </w:t>
      </w:r>
      <w:r w:rsidR="0003670E">
        <w:rPr>
          <w:lang w:val="en-GB"/>
        </w:rPr>
        <w:t>highlighted columns are</w:t>
      </w:r>
      <w:r>
        <w:rPr>
          <w:lang w:val="en-GB"/>
        </w:rPr>
        <w:t xml:space="preserve"> the only currently published regulation</w:t>
      </w:r>
      <w:r w:rsidR="001A4DA8">
        <w:rPr>
          <w:lang w:val="en-GB"/>
        </w:rPr>
        <w:t>s</w:t>
      </w:r>
      <w:r>
        <w:rPr>
          <w:lang w:val="en-GB"/>
        </w:rPr>
        <w:t xml:space="preserve"> that pertains to wideband data transmission systems</w:t>
      </w:r>
      <w:r w:rsidR="001A4DA8">
        <w:rPr>
          <w:lang w:val="en-GB"/>
        </w:rPr>
        <w:t xml:space="preserve"> in ITU Region 1 and ITU Region 2</w:t>
      </w:r>
      <w:r>
        <w:rPr>
          <w:lang w:val="en-GB"/>
        </w:rPr>
        <w:t>.</w:t>
      </w:r>
    </w:p>
    <w:p w14:paraId="39DEE644" w14:textId="6BDFF4F4" w:rsidR="00A35DF7" w:rsidRDefault="00A35DF7" w:rsidP="00A35DF7">
      <w:pPr>
        <w:pStyle w:val="Heading1"/>
        <w:jc w:val="both"/>
      </w:pPr>
      <w:r>
        <w:t>Prioritization of use cases from the wide range of selection listed in TR 38.807</w:t>
      </w:r>
    </w:p>
    <w:p w14:paraId="48B5A327" w14:textId="77777777" w:rsidR="003F23FA" w:rsidRDefault="00603566" w:rsidP="00A35DF7">
      <w:pPr>
        <w:rPr>
          <w:lang w:val="en-GB"/>
        </w:rPr>
      </w:pPr>
      <w:r>
        <w:rPr>
          <w:lang w:val="en-GB"/>
        </w:rPr>
        <w:t xml:space="preserve">Owing to the limitations of mm-wave capabilities for mobility along with the lack of </w:t>
      </w:r>
      <w:r w:rsidR="003F23FA">
        <w:rPr>
          <w:lang w:val="en-GB"/>
        </w:rPr>
        <w:t xml:space="preserve">global </w:t>
      </w:r>
      <w:r>
        <w:rPr>
          <w:lang w:val="en-GB"/>
        </w:rPr>
        <w:t>regulatory allowances for outdoor applications we would propose to concentrate on indoor</w:t>
      </w:r>
      <w:r w:rsidR="00F0519A">
        <w:rPr>
          <w:lang w:val="en-GB"/>
        </w:rPr>
        <w:t xml:space="preserve"> use cases</w:t>
      </w:r>
      <w:r w:rsidR="00E958C2">
        <w:rPr>
          <w:lang w:val="en-GB"/>
        </w:rPr>
        <w:t xml:space="preserve"> first.</w:t>
      </w:r>
    </w:p>
    <w:p w14:paraId="26FD83DF" w14:textId="1EC9172F" w:rsidR="000436B3" w:rsidRPr="000436B3" w:rsidRDefault="000436B3" w:rsidP="00A35DF7">
      <w:pPr>
        <w:rPr>
          <w:b/>
          <w:lang w:val="en-GB"/>
        </w:rPr>
      </w:pPr>
      <w:r w:rsidRPr="000436B3">
        <w:rPr>
          <w:b/>
          <w:lang w:val="en-GB"/>
        </w:rPr>
        <w:t>Observation: In a global context, currently only indoor low power use cases are universally covered worldwide</w:t>
      </w:r>
      <w:r>
        <w:rPr>
          <w:b/>
          <w:lang w:val="en-GB"/>
        </w:rPr>
        <w:t xml:space="preserve"> for the unlicensed spectrum above 57GHz</w:t>
      </w:r>
      <w:r w:rsidRPr="000436B3">
        <w:rPr>
          <w:b/>
          <w:lang w:val="en-GB"/>
        </w:rPr>
        <w:t>.</w:t>
      </w:r>
    </w:p>
    <w:p w14:paraId="54134B29" w14:textId="7B40FAC3" w:rsidR="00A35DF7" w:rsidRDefault="002179C6" w:rsidP="00A35DF7">
      <w:pPr>
        <w:rPr>
          <w:lang w:val="en-GB"/>
        </w:rPr>
      </w:pPr>
      <w:r>
        <w:rPr>
          <w:lang w:val="en-GB"/>
        </w:rPr>
        <w:t xml:space="preserve">The obvious use case being high data rate </w:t>
      </w:r>
      <w:proofErr w:type="spellStart"/>
      <w:r>
        <w:rPr>
          <w:lang w:val="en-GB"/>
        </w:rPr>
        <w:t>eMBB</w:t>
      </w:r>
      <w:proofErr w:type="spellEnd"/>
      <w:r>
        <w:rPr>
          <w:lang w:val="en-GB"/>
        </w:rPr>
        <w:t xml:space="preserve">, the foundation of NR and subsequently NR-U. </w:t>
      </w:r>
      <w:r w:rsidR="003F23FA">
        <w:rPr>
          <w:lang w:val="en-GB"/>
        </w:rPr>
        <w:t xml:space="preserve">Mobile offloading and private networks would be other obvious priorities along with any factory automation uses, which again would include </w:t>
      </w:r>
      <w:proofErr w:type="spellStart"/>
      <w:r w:rsidR="003F23FA">
        <w:rPr>
          <w:lang w:val="en-GB"/>
        </w:rPr>
        <w:t>eMBB</w:t>
      </w:r>
      <w:proofErr w:type="spellEnd"/>
      <w:r w:rsidR="003F23FA">
        <w:rPr>
          <w:lang w:val="en-GB"/>
        </w:rPr>
        <w:t>, mobile offload and private networks. Indoor short range devices that implement point-to-point type links that could be covered by a 3GPP side-link should be considered, such as AR/VR devices, wireless connectivity such as HDMI, data-</w:t>
      </w:r>
      <w:proofErr w:type="spellStart"/>
      <w:r w:rsidR="003F23FA">
        <w:rPr>
          <w:lang w:val="en-GB"/>
        </w:rPr>
        <w:t>center</w:t>
      </w:r>
      <w:proofErr w:type="spellEnd"/>
      <w:r w:rsidR="003F23FA">
        <w:rPr>
          <w:lang w:val="en-GB"/>
        </w:rPr>
        <w:t xml:space="preserve"> inter-rack connectivity, etc.</w:t>
      </w:r>
    </w:p>
    <w:p w14:paraId="43CEE9F5" w14:textId="516537AF" w:rsidR="000436B3" w:rsidRPr="000436B3" w:rsidRDefault="000436B3" w:rsidP="00A35DF7">
      <w:pPr>
        <w:rPr>
          <w:b/>
          <w:lang w:val="en-GB"/>
        </w:rPr>
      </w:pPr>
      <w:r w:rsidRPr="000436B3">
        <w:rPr>
          <w:b/>
          <w:lang w:val="en-GB"/>
        </w:rPr>
        <w:t xml:space="preserve">Proposal: Prioritise </w:t>
      </w:r>
      <w:r w:rsidRPr="000436B3">
        <w:rPr>
          <w:b/>
          <w:lang w:val="en-GB"/>
        </w:rPr>
        <w:t>simulation effort</w:t>
      </w:r>
      <w:r w:rsidRPr="000436B3">
        <w:rPr>
          <w:b/>
          <w:lang w:val="en-GB"/>
        </w:rPr>
        <w:t xml:space="preserve"> to use cases, scenarios, channel and traffic modelling that are relevant to indoor use cases only.</w:t>
      </w:r>
    </w:p>
    <w:p w14:paraId="03373DBD" w14:textId="0F44A9E8" w:rsidR="00A35DF7" w:rsidRPr="00A35DF7" w:rsidRDefault="00A35DF7" w:rsidP="00A35DF7">
      <w:pPr>
        <w:pStyle w:val="Heading1"/>
        <w:jc w:val="both"/>
      </w:pPr>
      <w:r>
        <w:t>Simulation assumptions for the prioritized use case(s)</w:t>
      </w:r>
    </w:p>
    <w:p w14:paraId="794826F7" w14:textId="333F340B" w:rsidR="00A35DF7" w:rsidRDefault="00A35DF7" w:rsidP="00A35DF7">
      <w:pPr>
        <w:pStyle w:val="Heading2"/>
      </w:pPr>
      <w:r>
        <w:t>Layout</w:t>
      </w:r>
    </w:p>
    <w:p w14:paraId="4EB451F4" w14:textId="16D038AB" w:rsidR="00EC78B7" w:rsidRDefault="00EC78B7" w:rsidP="00EC78B7">
      <w:pPr>
        <w:rPr>
          <w:lang w:val="en-GB"/>
        </w:rPr>
      </w:pPr>
      <w:r>
        <w:rPr>
          <w:lang w:val="en-GB"/>
        </w:rPr>
        <w:t xml:space="preserve">Given the lack of ETSI standards covering outdoor devices where </w:t>
      </w:r>
      <w:r w:rsidRPr="00B31DA8">
        <w:rPr>
          <w:lang w:val="en-GB"/>
        </w:rPr>
        <w:t xml:space="preserve">Fixed Local Area Network Extension (FLANE) or Fixed Point-to-Point applications </w:t>
      </w:r>
      <w:r>
        <w:rPr>
          <w:lang w:val="en-GB"/>
        </w:rPr>
        <w:t xml:space="preserve">are </w:t>
      </w:r>
      <w:r w:rsidRPr="00B31DA8">
        <w:rPr>
          <w:lang w:val="en-GB"/>
        </w:rPr>
        <w:t>specifically excluded</w:t>
      </w:r>
      <w:r>
        <w:rPr>
          <w:lang w:val="en-GB"/>
        </w:rPr>
        <w:t xml:space="preserve"> in </w:t>
      </w:r>
      <w:r w:rsidR="000436B3">
        <w:rPr>
          <w:lang w:val="en-GB"/>
        </w:rPr>
        <w:fldChar w:fldCharType="begin"/>
      </w:r>
      <w:r w:rsidR="000436B3">
        <w:rPr>
          <w:lang w:val="en-GB"/>
        </w:rPr>
        <w:instrText xml:space="preserve"> REF _Ref40377435 \w \h </w:instrText>
      </w:r>
      <w:r w:rsidR="000436B3">
        <w:rPr>
          <w:lang w:val="en-GB"/>
        </w:rPr>
      </w:r>
      <w:r w:rsidR="000436B3">
        <w:rPr>
          <w:lang w:val="en-GB"/>
        </w:rPr>
        <w:fldChar w:fldCharType="separate"/>
      </w:r>
      <w:r w:rsidR="000436B3">
        <w:rPr>
          <w:lang w:val="en-GB"/>
        </w:rPr>
        <w:t>[1]</w:t>
      </w:r>
      <w:r w:rsidR="000436B3">
        <w:rPr>
          <w:lang w:val="en-GB"/>
        </w:rPr>
        <w:fldChar w:fldCharType="end"/>
      </w:r>
      <w:r>
        <w:rPr>
          <w:lang w:val="en-GB"/>
        </w:rPr>
        <w:t xml:space="preserve"> while fixed outdoor is explicitly disallowed in band c1 of </w:t>
      </w:r>
      <w:r>
        <w:rPr>
          <w:lang w:val="en-GB"/>
        </w:rPr>
        <w:fldChar w:fldCharType="begin"/>
      </w:r>
      <w:r>
        <w:rPr>
          <w:lang w:val="en-GB"/>
        </w:rPr>
        <w:instrText xml:space="preserve"> REF _Ref39987947 \w \h </w:instrText>
      </w:r>
      <w:r>
        <w:rPr>
          <w:lang w:val="en-GB"/>
        </w:rPr>
      </w:r>
      <w:r>
        <w:rPr>
          <w:lang w:val="en-GB"/>
        </w:rPr>
        <w:fldChar w:fldCharType="separate"/>
      </w:r>
      <w:r>
        <w:rPr>
          <w:lang w:val="en-GB"/>
        </w:rPr>
        <w:t>[2]</w:t>
      </w:r>
      <w:r>
        <w:rPr>
          <w:lang w:val="en-GB"/>
        </w:rPr>
        <w:fldChar w:fldCharType="end"/>
      </w:r>
      <w:r w:rsidR="00174A3E">
        <w:rPr>
          <w:lang w:val="en-GB"/>
        </w:rPr>
        <w:t xml:space="preserve">. We would thus suggest confining our discussion to only those pertaining to indoor scenarios where the layout would be covered by one of either </w:t>
      </w:r>
      <w:r w:rsidR="000436B3">
        <w:rPr>
          <w:lang w:val="en-GB"/>
        </w:rPr>
        <w:fldChar w:fldCharType="begin"/>
      </w:r>
      <w:r w:rsidR="000436B3">
        <w:rPr>
          <w:lang w:val="en-GB"/>
        </w:rPr>
        <w:instrText xml:space="preserve"> REF _Ref40377435 \w \h </w:instrText>
      </w:r>
      <w:r w:rsidR="000436B3">
        <w:rPr>
          <w:lang w:val="en-GB"/>
        </w:rPr>
      </w:r>
      <w:r w:rsidR="000436B3">
        <w:rPr>
          <w:lang w:val="en-GB"/>
        </w:rPr>
        <w:fldChar w:fldCharType="separate"/>
      </w:r>
      <w:r w:rsidR="000436B3">
        <w:rPr>
          <w:lang w:val="en-GB"/>
        </w:rPr>
        <w:t>[1]</w:t>
      </w:r>
      <w:r w:rsidR="000436B3">
        <w:rPr>
          <w:lang w:val="en-GB"/>
        </w:rPr>
        <w:fldChar w:fldCharType="end"/>
      </w:r>
      <w:r w:rsidR="00174A3E">
        <w:rPr>
          <w:lang w:val="en-GB"/>
        </w:rPr>
        <w:t xml:space="preserve"> or </w:t>
      </w:r>
      <w:r w:rsidR="00174A3E">
        <w:rPr>
          <w:lang w:val="en-GB"/>
        </w:rPr>
        <w:fldChar w:fldCharType="begin"/>
      </w:r>
      <w:r w:rsidR="00174A3E">
        <w:rPr>
          <w:lang w:val="en-GB"/>
        </w:rPr>
        <w:instrText xml:space="preserve"> REF _Ref40085734 \w \h </w:instrText>
      </w:r>
      <w:r w:rsidR="00174A3E">
        <w:rPr>
          <w:lang w:val="en-GB"/>
        </w:rPr>
      </w:r>
      <w:r w:rsidR="00174A3E">
        <w:rPr>
          <w:lang w:val="en-GB"/>
        </w:rPr>
        <w:fldChar w:fldCharType="separate"/>
      </w:r>
      <w:r w:rsidR="00174A3E">
        <w:rPr>
          <w:lang w:val="en-GB"/>
        </w:rPr>
        <w:t>[8]</w:t>
      </w:r>
      <w:r w:rsidR="00174A3E">
        <w:rPr>
          <w:lang w:val="en-GB"/>
        </w:rPr>
        <w:fldChar w:fldCharType="end"/>
      </w:r>
      <w:r w:rsidR="00174A3E">
        <w:rPr>
          <w:lang w:val="en-GB"/>
        </w:rPr>
        <w:t xml:space="preserve"> ETSI harmonised standards. If we look to </w:t>
      </w:r>
      <w:r w:rsidR="00353717">
        <w:rPr>
          <w:lang w:val="en-GB"/>
        </w:rPr>
        <w:t xml:space="preserve">previous 3GPP studies in </w:t>
      </w:r>
      <w:r w:rsidR="000436B3">
        <w:rPr>
          <w:lang w:val="en-GB"/>
        </w:rPr>
        <w:fldChar w:fldCharType="begin"/>
      </w:r>
      <w:r w:rsidR="000436B3">
        <w:rPr>
          <w:lang w:val="en-GB"/>
        </w:rPr>
        <w:instrText xml:space="preserve"> REF _Ref40110023 \w \h </w:instrText>
      </w:r>
      <w:r w:rsidR="000436B3">
        <w:rPr>
          <w:lang w:val="en-GB"/>
        </w:rPr>
      </w:r>
      <w:r w:rsidR="000436B3">
        <w:rPr>
          <w:lang w:val="en-GB"/>
        </w:rPr>
        <w:fldChar w:fldCharType="separate"/>
      </w:r>
      <w:r w:rsidR="000436B3">
        <w:rPr>
          <w:lang w:val="en-GB"/>
        </w:rPr>
        <w:t>[10]</w:t>
      </w:r>
      <w:r w:rsidR="000436B3">
        <w:rPr>
          <w:lang w:val="en-GB"/>
        </w:rPr>
        <w:fldChar w:fldCharType="end"/>
      </w:r>
      <w:r w:rsidR="000436B3">
        <w:rPr>
          <w:lang w:val="en-GB"/>
        </w:rPr>
        <w:t xml:space="preserve">, </w:t>
      </w:r>
      <w:r w:rsidR="000436B3">
        <w:rPr>
          <w:lang w:val="en-GB"/>
        </w:rPr>
        <w:fldChar w:fldCharType="begin"/>
      </w:r>
      <w:r w:rsidR="000436B3">
        <w:rPr>
          <w:lang w:val="en-GB"/>
        </w:rPr>
        <w:instrText xml:space="preserve"> REF _Ref40110016 \w \h </w:instrText>
      </w:r>
      <w:r w:rsidR="000436B3">
        <w:rPr>
          <w:lang w:val="en-GB"/>
        </w:rPr>
      </w:r>
      <w:r w:rsidR="000436B3">
        <w:rPr>
          <w:lang w:val="en-GB"/>
        </w:rPr>
        <w:fldChar w:fldCharType="separate"/>
      </w:r>
      <w:r w:rsidR="000436B3">
        <w:rPr>
          <w:lang w:val="en-GB"/>
        </w:rPr>
        <w:t>[11]</w:t>
      </w:r>
      <w:r w:rsidR="000436B3">
        <w:rPr>
          <w:lang w:val="en-GB"/>
        </w:rPr>
        <w:fldChar w:fldCharType="end"/>
      </w:r>
      <w:r w:rsidR="000436B3">
        <w:rPr>
          <w:lang w:val="en-GB"/>
        </w:rPr>
        <w:t xml:space="preserve">, </w:t>
      </w:r>
      <w:r w:rsidR="000436B3">
        <w:rPr>
          <w:lang w:val="en-GB"/>
        </w:rPr>
        <w:fldChar w:fldCharType="begin"/>
      </w:r>
      <w:r w:rsidR="000436B3">
        <w:rPr>
          <w:lang w:val="en-GB"/>
        </w:rPr>
        <w:instrText xml:space="preserve"> REF _Ref40109973 \w \h </w:instrText>
      </w:r>
      <w:r w:rsidR="000436B3">
        <w:rPr>
          <w:lang w:val="en-GB"/>
        </w:rPr>
      </w:r>
      <w:r w:rsidR="000436B3">
        <w:rPr>
          <w:lang w:val="en-GB"/>
        </w:rPr>
        <w:fldChar w:fldCharType="separate"/>
      </w:r>
      <w:proofErr w:type="gramStart"/>
      <w:r w:rsidR="000436B3">
        <w:rPr>
          <w:lang w:val="en-GB"/>
        </w:rPr>
        <w:t>[</w:t>
      </w:r>
      <w:proofErr w:type="gramEnd"/>
      <w:r w:rsidR="000436B3">
        <w:rPr>
          <w:lang w:val="en-GB"/>
        </w:rPr>
        <w:t>12]</w:t>
      </w:r>
      <w:r w:rsidR="000436B3">
        <w:rPr>
          <w:lang w:val="en-GB"/>
        </w:rPr>
        <w:fldChar w:fldCharType="end"/>
      </w:r>
      <w:r w:rsidR="00353717">
        <w:rPr>
          <w:lang w:val="en-GB"/>
        </w:rPr>
        <w:t xml:space="preserve"> or </w:t>
      </w:r>
      <w:r w:rsidR="000436B3">
        <w:rPr>
          <w:lang w:val="en-GB"/>
        </w:rPr>
        <w:fldChar w:fldCharType="begin"/>
      </w:r>
      <w:r w:rsidR="000436B3">
        <w:rPr>
          <w:lang w:val="en-GB"/>
        </w:rPr>
        <w:instrText xml:space="preserve"> REF _Ref40442394 \w \h </w:instrText>
      </w:r>
      <w:r w:rsidR="000436B3">
        <w:rPr>
          <w:lang w:val="en-GB"/>
        </w:rPr>
      </w:r>
      <w:r w:rsidR="000436B3">
        <w:rPr>
          <w:lang w:val="en-GB"/>
        </w:rPr>
        <w:fldChar w:fldCharType="separate"/>
      </w:r>
      <w:r w:rsidR="000436B3">
        <w:rPr>
          <w:lang w:val="en-GB"/>
        </w:rPr>
        <w:t>[13]</w:t>
      </w:r>
      <w:r w:rsidR="000436B3">
        <w:rPr>
          <w:lang w:val="en-GB"/>
        </w:rPr>
        <w:fldChar w:fldCharType="end"/>
      </w:r>
      <w:r w:rsidR="00353717">
        <w:rPr>
          <w:lang w:val="en-GB"/>
        </w:rPr>
        <w:t xml:space="preserve"> and the various proposed scenarios, this would summarise to</w:t>
      </w:r>
      <w:r w:rsidR="000436B3">
        <w:rPr>
          <w:lang w:val="en-GB"/>
        </w:rPr>
        <w:t xml:space="preserve"> </w:t>
      </w:r>
      <w:r w:rsidR="000436B3">
        <w:rPr>
          <w:lang w:val="en-GB"/>
        </w:rPr>
        <w:fldChar w:fldCharType="begin"/>
      </w:r>
      <w:r w:rsidR="000436B3">
        <w:rPr>
          <w:lang w:val="en-GB"/>
        </w:rPr>
        <w:instrText xml:space="preserve"> REF _Ref40446374 \h </w:instrText>
      </w:r>
      <w:r w:rsidR="000436B3">
        <w:rPr>
          <w:lang w:val="en-GB"/>
        </w:rPr>
      </w:r>
      <w:r w:rsidR="000436B3">
        <w:rPr>
          <w:lang w:val="en-GB"/>
        </w:rPr>
        <w:fldChar w:fldCharType="separate"/>
      </w:r>
      <w:r w:rsidR="000436B3">
        <w:t xml:space="preserve">Table </w:t>
      </w:r>
      <w:r w:rsidR="000436B3">
        <w:rPr>
          <w:noProof/>
        </w:rPr>
        <w:t>2</w:t>
      </w:r>
      <w:r w:rsidR="000436B3">
        <w:rPr>
          <w:lang w:val="en-GB"/>
        </w:rPr>
        <w:fldChar w:fldCharType="end"/>
      </w:r>
      <w:r w:rsidR="000436B3">
        <w:rPr>
          <w:lang w:val="en-GB"/>
        </w:rPr>
        <w:t>.</w:t>
      </w:r>
    </w:p>
    <w:p w14:paraId="2EE70947" w14:textId="1A186CB4" w:rsidR="000436B3" w:rsidRDefault="000436B3" w:rsidP="000436B3">
      <w:pPr>
        <w:pStyle w:val="Caption"/>
        <w:keepNext/>
        <w:jc w:val="center"/>
      </w:pPr>
      <w:bookmarkStart w:id="3" w:name="_Ref40446374"/>
      <w:r>
        <w:lastRenderedPageBreak/>
        <w:t xml:space="preserve">Table </w:t>
      </w:r>
      <w:r>
        <w:fldChar w:fldCharType="begin"/>
      </w:r>
      <w:r>
        <w:instrText xml:space="preserve"> SEQ Table \* ARABIC </w:instrText>
      </w:r>
      <w:r>
        <w:fldChar w:fldCharType="separate"/>
      </w:r>
      <w:r>
        <w:rPr>
          <w:noProof/>
        </w:rPr>
        <w:t>2</w:t>
      </w:r>
      <w:r>
        <w:fldChar w:fldCharType="end"/>
      </w:r>
      <w:bookmarkEnd w:id="3"/>
      <w:r>
        <w:t xml:space="preserve">: </w:t>
      </w:r>
      <w:bookmarkStart w:id="4" w:name="_Ref40446364"/>
      <w:r>
        <w:t xml:space="preserve">Mapping of 3GPP proposed use cases to </w:t>
      </w:r>
      <w:r>
        <w:rPr>
          <w:noProof/>
        </w:rPr>
        <w:t>3GPP proposed scenarios.</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353717" w:rsidRPr="00874435" w14:paraId="7CB759C0" w14:textId="77777777" w:rsidTr="00335531">
        <w:tc>
          <w:tcPr>
            <w:tcW w:w="1896" w:type="dxa"/>
            <w:tcBorders>
              <w:bottom w:val="single" w:sz="4" w:space="0" w:color="auto"/>
            </w:tcBorders>
          </w:tcPr>
          <w:p w14:paraId="3F16989D" w14:textId="77777777" w:rsidR="00353717" w:rsidRPr="00874435" w:rsidRDefault="00353717" w:rsidP="00335531">
            <w:pPr>
              <w:pStyle w:val="TAH"/>
            </w:pPr>
            <w:r w:rsidRPr="00874435">
              <w:t>Deployment scenarios</w:t>
            </w:r>
          </w:p>
        </w:tc>
        <w:tc>
          <w:tcPr>
            <w:tcW w:w="7460" w:type="dxa"/>
            <w:tcBorders>
              <w:bottom w:val="single" w:sz="4" w:space="0" w:color="auto"/>
            </w:tcBorders>
          </w:tcPr>
          <w:p w14:paraId="60E9999F" w14:textId="77777777" w:rsidR="00353717" w:rsidRPr="00874435" w:rsidRDefault="00353717" w:rsidP="00335531">
            <w:pPr>
              <w:pStyle w:val="TAH"/>
            </w:pPr>
            <w:r w:rsidRPr="00874435">
              <w:t>Use cases</w:t>
            </w:r>
          </w:p>
        </w:tc>
      </w:tr>
      <w:tr w:rsidR="00353717" w:rsidRPr="00874435" w14:paraId="09D78723" w14:textId="77777777" w:rsidTr="00335531">
        <w:tc>
          <w:tcPr>
            <w:tcW w:w="1896" w:type="dxa"/>
            <w:shd w:val="clear" w:color="auto" w:fill="FFFFFF"/>
            <w:vAlign w:val="center"/>
          </w:tcPr>
          <w:p w14:paraId="20FB17A8" w14:textId="77777777" w:rsidR="00353717" w:rsidRPr="00874435" w:rsidRDefault="00353717" w:rsidP="00335531">
            <w:pPr>
              <w:pStyle w:val="TAL"/>
            </w:pPr>
            <w:r w:rsidRPr="00874435">
              <w:rPr>
                <w:lang w:eastAsia="zh-CN"/>
              </w:rPr>
              <w:t>Indoor hotspot</w:t>
            </w:r>
          </w:p>
        </w:tc>
        <w:tc>
          <w:tcPr>
            <w:tcW w:w="7460" w:type="dxa"/>
            <w:shd w:val="clear" w:color="auto" w:fill="FFFFFF"/>
            <w:vAlign w:val="center"/>
          </w:tcPr>
          <w:p w14:paraId="5BC75A14" w14:textId="0BA16C96" w:rsidR="00353717" w:rsidRPr="00874435" w:rsidRDefault="00353717" w:rsidP="00DC2EB8">
            <w:pPr>
              <w:pStyle w:val="TAL"/>
              <w:rPr>
                <w:lang w:eastAsia="zh-CN"/>
              </w:rPr>
            </w:pPr>
            <w:r w:rsidRPr="00874435">
              <w:t>High data ra</w:t>
            </w:r>
            <w:r w:rsidR="00DC2EB8">
              <w:t xml:space="preserve">te </w:t>
            </w:r>
            <w:proofErr w:type="spellStart"/>
            <w:r w:rsidR="00DC2EB8">
              <w:t>eMBB</w:t>
            </w:r>
            <w:proofErr w:type="spellEnd"/>
            <w:r w:rsidR="00DC2EB8">
              <w:t>, Mobile data offloading</w:t>
            </w:r>
          </w:p>
        </w:tc>
      </w:tr>
      <w:tr w:rsidR="00DC2EB8" w:rsidRPr="00874435" w14:paraId="0E047683" w14:textId="77777777" w:rsidTr="00335531">
        <w:tc>
          <w:tcPr>
            <w:tcW w:w="1896" w:type="dxa"/>
            <w:shd w:val="clear" w:color="auto" w:fill="FFFFFF"/>
            <w:vAlign w:val="center"/>
          </w:tcPr>
          <w:p w14:paraId="34B28B3B" w14:textId="5C4343A0" w:rsidR="00DC2EB8" w:rsidRPr="00DC2EB8" w:rsidRDefault="00DC2EB8" w:rsidP="00335531">
            <w:pPr>
              <w:pStyle w:val="TAL"/>
              <w:rPr>
                <w:lang w:val="en-US" w:eastAsia="zh-CN"/>
              </w:rPr>
            </w:pPr>
            <w:r>
              <w:rPr>
                <w:lang w:val="en-US" w:eastAsia="zh-CN"/>
              </w:rPr>
              <w:t>Indoor office</w:t>
            </w:r>
          </w:p>
        </w:tc>
        <w:tc>
          <w:tcPr>
            <w:tcW w:w="7460" w:type="dxa"/>
            <w:shd w:val="clear" w:color="auto" w:fill="FFFFFF"/>
            <w:vAlign w:val="center"/>
          </w:tcPr>
          <w:p w14:paraId="409422B6" w14:textId="42C66F5B" w:rsidR="00DC2EB8" w:rsidRPr="00DC2EB8" w:rsidRDefault="00DC2EB8" w:rsidP="00603566">
            <w:pPr>
              <w:pStyle w:val="TAL"/>
              <w:rPr>
                <w:lang w:val="en-US"/>
              </w:rPr>
            </w:pPr>
            <w:r w:rsidRPr="00874435">
              <w:t>Private Networks</w:t>
            </w:r>
            <w:r>
              <w:rPr>
                <w:lang w:val="en-US"/>
              </w:rPr>
              <w:t>,</w:t>
            </w:r>
            <w:r w:rsidRPr="00874435">
              <w:t xml:space="preserve"> Integrated access backhaul (IAB)</w:t>
            </w:r>
          </w:p>
        </w:tc>
      </w:tr>
      <w:tr w:rsidR="00DC2EB8" w:rsidRPr="00874435" w14:paraId="20AD6195" w14:textId="77777777" w:rsidTr="00335531">
        <w:tc>
          <w:tcPr>
            <w:tcW w:w="1896" w:type="dxa"/>
            <w:shd w:val="clear" w:color="auto" w:fill="FFFFFF"/>
            <w:vAlign w:val="center"/>
          </w:tcPr>
          <w:p w14:paraId="4720B22C" w14:textId="36854F65" w:rsidR="00DC2EB8" w:rsidRDefault="00DC2EB8" w:rsidP="00335531">
            <w:pPr>
              <w:pStyle w:val="TAL"/>
              <w:rPr>
                <w:lang w:val="en-US" w:eastAsia="zh-CN"/>
              </w:rPr>
            </w:pPr>
            <w:r>
              <w:rPr>
                <w:lang w:val="en-US" w:eastAsia="zh-CN"/>
              </w:rPr>
              <w:t>Indoor public</w:t>
            </w:r>
          </w:p>
        </w:tc>
        <w:tc>
          <w:tcPr>
            <w:tcW w:w="7460" w:type="dxa"/>
            <w:shd w:val="clear" w:color="auto" w:fill="FFFFFF"/>
            <w:vAlign w:val="center"/>
          </w:tcPr>
          <w:p w14:paraId="4C602D0E" w14:textId="0EEB683D" w:rsidR="00DC2EB8" w:rsidRPr="00DC2EB8" w:rsidRDefault="00DC2EB8" w:rsidP="00603566">
            <w:pPr>
              <w:pStyle w:val="TAL"/>
              <w:rPr>
                <w:lang w:val="en-US"/>
              </w:rPr>
            </w:pPr>
            <w:r w:rsidRPr="00874435">
              <w:t>High data ra</w:t>
            </w:r>
            <w:r>
              <w:t xml:space="preserve">te </w:t>
            </w:r>
            <w:proofErr w:type="spellStart"/>
            <w:r>
              <w:t>eMBB</w:t>
            </w:r>
            <w:proofErr w:type="spellEnd"/>
            <w:r>
              <w:rPr>
                <w:lang w:val="en-US"/>
              </w:rPr>
              <w:t xml:space="preserve">, </w:t>
            </w:r>
            <w:r w:rsidRPr="00874435">
              <w:t>Integrated access backhaul (IAB)</w:t>
            </w:r>
          </w:p>
        </w:tc>
      </w:tr>
      <w:tr w:rsidR="00353717" w:rsidRPr="00874435" w14:paraId="2F49B7CB" w14:textId="77777777" w:rsidTr="00335531">
        <w:tc>
          <w:tcPr>
            <w:tcW w:w="1896" w:type="dxa"/>
            <w:shd w:val="clear" w:color="auto" w:fill="FFFFFF"/>
            <w:vAlign w:val="center"/>
          </w:tcPr>
          <w:p w14:paraId="77D0839F" w14:textId="77777777" w:rsidR="00353717" w:rsidRPr="00874435" w:rsidRDefault="00353717" w:rsidP="00335531">
            <w:pPr>
              <w:pStyle w:val="TAL"/>
              <w:rPr>
                <w:lang w:eastAsia="zh-CN"/>
              </w:rPr>
            </w:pPr>
            <w:r w:rsidRPr="00874435">
              <w:rPr>
                <w:lang w:eastAsia="zh-CN"/>
              </w:rPr>
              <w:t>Factory Hall</w:t>
            </w:r>
          </w:p>
        </w:tc>
        <w:tc>
          <w:tcPr>
            <w:tcW w:w="7460" w:type="dxa"/>
            <w:shd w:val="clear" w:color="auto" w:fill="FFFFFF"/>
            <w:vAlign w:val="center"/>
          </w:tcPr>
          <w:p w14:paraId="15566ABE" w14:textId="03E13157" w:rsidR="00353717" w:rsidRPr="00874435" w:rsidRDefault="00353717" w:rsidP="003F23FA">
            <w:pPr>
              <w:pStyle w:val="TAL"/>
              <w:rPr>
                <w:lang w:eastAsia="zh-CN"/>
              </w:rPr>
            </w:pPr>
            <w:r w:rsidRPr="00874435">
              <w:t xml:space="preserve">Vertical industry factory application, Factory automation/Industrial </w:t>
            </w:r>
            <w:proofErr w:type="spellStart"/>
            <w:r w:rsidRPr="00874435">
              <w:t>IoT</w:t>
            </w:r>
            <w:proofErr w:type="spellEnd"/>
            <w:r w:rsidRPr="00874435">
              <w:t>(</w:t>
            </w:r>
            <w:proofErr w:type="spellStart"/>
            <w:r w:rsidRPr="00874435">
              <w:t>IIoT</w:t>
            </w:r>
            <w:proofErr w:type="spellEnd"/>
            <w:r w:rsidRPr="00874435">
              <w:t>), Private Networks, smart grid automation (note: smart grid automation use case is not limited to indoors only)</w:t>
            </w:r>
          </w:p>
        </w:tc>
      </w:tr>
      <w:tr w:rsidR="00353717" w:rsidRPr="00874435" w14:paraId="3F687D3E" w14:textId="77777777" w:rsidTr="00335531">
        <w:tc>
          <w:tcPr>
            <w:tcW w:w="1896" w:type="dxa"/>
            <w:shd w:val="clear" w:color="auto" w:fill="FFFFFF"/>
            <w:vAlign w:val="center"/>
          </w:tcPr>
          <w:p w14:paraId="3A1CA623" w14:textId="77777777" w:rsidR="00353717" w:rsidRPr="00874435" w:rsidRDefault="00353717" w:rsidP="00335531">
            <w:pPr>
              <w:pStyle w:val="TAL"/>
              <w:rPr>
                <w:lang w:eastAsia="zh-CN"/>
              </w:rPr>
            </w:pPr>
            <w:r w:rsidRPr="00874435">
              <w:rPr>
                <w:lang w:eastAsia="zh-CN"/>
              </w:rPr>
              <w:t>Indoor D2D</w:t>
            </w:r>
          </w:p>
        </w:tc>
        <w:tc>
          <w:tcPr>
            <w:tcW w:w="7460" w:type="dxa"/>
            <w:shd w:val="clear" w:color="auto" w:fill="FFFFFF"/>
            <w:vAlign w:val="center"/>
          </w:tcPr>
          <w:p w14:paraId="781E59D0" w14:textId="40EDE84E" w:rsidR="00353717" w:rsidRPr="00874435" w:rsidRDefault="00353717" w:rsidP="00335531">
            <w:pPr>
              <w:pStyle w:val="TAL"/>
              <w:rPr>
                <w:lang w:eastAsia="zh-CN"/>
              </w:rPr>
            </w:pPr>
            <w:r w:rsidRPr="00874435">
              <w:t xml:space="preserve">Short-range high-data rate D2D communications, </w:t>
            </w:r>
            <w:r w:rsidR="00603566" w:rsidRPr="00874435">
              <w:t xml:space="preserve">Data center inter-rack connectivity, </w:t>
            </w:r>
            <w:r w:rsidRPr="00874435">
              <w:t xml:space="preserve">Critical medical applications, Augmented reality/virtual reality headsets and other high-end </w:t>
            </w:r>
            <w:proofErr w:type="spellStart"/>
            <w:r w:rsidRPr="00874435">
              <w:t>wearables</w:t>
            </w:r>
            <w:proofErr w:type="spellEnd"/>
            <w:r w:rsidR="00603566" w:rsidRPr="00874435">
              <w:t>, Wireless Display Transfer</w:t>
            </w:r>
          </w:p>
        </w:tc>
      </w:tr>
    </w:tbl>
    <w:p w14:paraId="4C99F4C4" w14:textId="77777777" w:rsidR="003F23FA" w:rsidRDefault="003F23FA" w:rsidP="003F23FA">
      <w:pPr>
        <w:rPr>
          <w:lang w:val="en-GB"/>
        </w:rPr>
      </w:pPr>
    </w:p>
    <w:p w14:paraId="6B6DC226" w14:textId="6E4C3284" w:rsidR="003F23FA" w:rsidRDefault="003F23FA" w:rsidP="003F23FA">
      <w:pPr>
        <w:rPr>
          <w:lang w:val="en-GB"/>
        </w:rPr>
      </w:pPr>
      <w:r>
        <w:rPr>
          <w:lang w:val="en-GB"/>
        </w:rPr>
        <w:t xml:space="preserve">For the same reasons as in previous sections, the </w:t>
      </w:r>
      <w:r w:rsidR="00CC19BA">
        <w:rPr>
          <w:lang w:val="en-GB"/>
        </w:rPr>
        <w:t>layouts</w:t>
      </w:r>
      <w:r>
        <w:rPr>
          <w:lang w:val="en-GB"/>
        </w:rPr>
        <w:t xml:space="preserve"> considered in</w:t>
      </w:r>
      <w:r w:rsidR="00587D3F">
        <w:rPr>
          <w:lang w:val="en-GB"/>
        </w:rPr>
        <w:t xml:space="preserve"> </w:t>
      </w:r>
      <w:r>
        <w:rPr>
          <w:lang w:val="en-GB"/>
        </w:rPr>
        <w:t>should, for now at leas</w:t>
      </w:r>
      <w:r w:rsidR="00587D3F">
        <w:rPr>
          <w:lang w:val="en-GB"/>
        </w:rPr>
        <w:t>t, be confined to those relevant to</w:t>
      </w:r>
      <w:r>
        <w:rPr>
          <w:lang w:val="en-GB"/>
        </w:rPr>
        <w:t xml:space="preserve"> indoor scenarios.</w:t>
      </w:r>
      <w:r>
        <w:rPr>
          <w:lang w:val="en-GB"/>
        </w:rPr>
        <w:t xml:space="preserve"> T</w:t>
      </w:r>
      <w:r w:rsidR="00CC19BA">
        <w:rPr>
          <w:lang w:val="en-GB"/>
        </w:rPr>
        <w:t>he layouts</w:t>
      </w:r>
      <w:r>
        <w:rPr>
          <w:lang w:val="en-GB"/>
        </w:rPr>
        <w:t xml:space="preserve"> </w:t>
      </w:r>
      <w:r w:rsidR="000436B3">
        <w:rPr>
          <w:lang w:val="en-GB"/>
        </w:rPr>
        <w:t>detailed</w:t>
      </w:r>
      <w:r>
        <w:rPr>
          <w:lang w:val="en-GB"/>
        </w:rPr>
        <w:t xml:space="preserve"> in </w:t>
      </w:r>
      <w:r>
        <w:rPr>
          <w:lang w:val="en-GB"/>
        </w:rPr>
        <w:fldChar w:fldCharType="begin"/>
      </w:r>
      <w:r>
        <w:rPr>
          <w:lang w:val="en-GB"/>
        </w:rPr>
        <w:instrText xml:space="preserve"> REF _Ref40110016 \w \h </w:instrText>
      </w:r>
      <w:r>
        <w:rPr>
          <w:lang w:val="en-GB"/>
        </w:rPr>
      </w:r>
      <w:r>
        <w:rPr>
          <w:lang w:val="en-GB"/>
        </w:rPr>
        <w:fldChar w:fldCharType="separate"/>
      </w:r>
      <w:r>
        <w:rPr>
          <w:lang w:val="en-GB"/>
        </w:rPr>
        <w:t>[10]</w:t>
      </w:r>
      <w:r>
        <w:rPr>
          <w:lang w:val="en-GB"/>
        </w:rPr>
        <w:fldChar w:fldCharType="end"/>
      </w:r>
      <w:r w:rsidR="00C33DDA">
        <w:rPr>
          <w:lang w:val="en-GB"/>
        </w:rPr>
        <w:t>,</w:t>
      </w:r>
      <w:r>
        <w:rPr>
          <w:lang w:val="en-GB"/>
        </w:rPr>
        <w:t xml:space="preserve"> </w:t>
      </w:r>
      <w:r w:rsidR="00C33DDA">
        <w:rPr>
          <w:lang w:val="en-GB"/>
        </w:rPr>
        <w:fldChar w:fldCharType="begin"/>
      </w:r>
      <w:r w:rsidR="00C33DDA">
        <w:rPr>
          <w:lang w:val="en-GB"/>
        </w:rPr>
        <w:instrText xml:space="preserve"> REF _Ref40110016 \w \h </w:instrText>
      </w:r>
      <w:r w:rsidR="00C33DDA">
        <w:rPr>
          <w:lang w:val="en-GB"/>
        </w:rPr>
      </w:r>
      <w:r w:rsidR="00C33DDA">
        <w:rPr>
          <w:lang w:val="en-GB"/>
        </w:rPr>
        <w:fldChar w:fldCharType="separate"/>
      </w:r>
      <w:r w:rsidR="00C33DDA">
        <w:rPr>
          <w:lang w:val="en-GB"/>
        </w:rPr>
        <w:t>[11]</w:t>
      </w:r>
      <w:r w:rsidR="00C33DDA">
        <w:rPr>
          <w:lang w:val="en-GB"/>
        </w:rPr>
        <w:fldChar w:fldCharType="end"/>
      </w:r>
      <w:r w:rsidR="00C33DDA">
        <w:rPr>
          <w:lang w:val="en-GB"/>
        </w:rPr>
        <w:t xml:space="preserve">, </w:t>
      </w:r>
      <w:r w:rsidR="00C33DDA">
        <w:rPr>
          <w:lang w:val="en-GB"/>
        </w:rPr>
        <w:fldChar w:fldCharType="begin"/>
      </w:r>
      <w:r w:rsidR="00C33DDA">
        <w:rPr>
          <w:lang w:val="en-GB"/>
        </w:rPr>
        <w:instrText xml:space="preserve"> REF _Ref40109973 \w \h </w:instrText>
      </w:r>
      <w:r w:rsidR="00C33DDA">
        <w:rPr>
          <w:lang w:val="en-GB"/>
        </w:rPr>
      </w:r>
      <w:r w:rsidR="00C33DDA">
        <w:rPr>
          <w:lang w:val="en-GB"/>
        </w:rPr>
        <w:fldChar w:fldCharType="separate"/>
      </w:r>
      <w:r w:rsidR="00C33DDA">
        <w:rPr>
          <w:lang w:val="en-GB"/>
        </w:rPr>
        <w:t>[12]</w:t>
      </w:r>
      <w:r w:rsidR="00C33DDA">
        <w:rPr>
          <w:lang w:val="en-GB"/>
        </w:rPr>
        <w:fldChar w:fldCharType="end"/>
      </w:r>
      <w:r w:rsidR="00C33DDA">
        <w:rPr>
          <w:lang w:val="en-GB"/>
        </w:rPr>
        <w:t xml:space="preserve"> and </w:t>
      </w:r>
      <w:r w:rsidR="00C33DDA">
        <w:rPr>
          <w:lang w:val="en-GB"/>
        </w:rPr>
        <w:fldChar w:fldCharType="begin"/>
      </w:r>
      <w:r w:rsidR="00C33DDA">
        <w:rPr>
          <w:lang w:val="en-GB"/>
        </w:rPr>
        <w:instrText xml:space="preserve"> REF _Ref40442394 \w \h </w:instrText>
      </w:r>
      <w:r w:rsidR="00C33DDA">
        <w:rPr>
          <w:lang w:val="en-GB"/>
        </w:rPr>
      </w:r>
      <w:r w:rsidR="00C33DDA">
        <w:rPr>
          <w:lang w:val="en-GB"/>
        </w:rPr>
        <w:fldChar w:fldCharType="separate"/>
      </w:r>
      <w:r w:rsidR="00C33DDA">
        <w:rPr>
          <w:lang w:val="en-GB"/>
        </w:rPr>
        <w:t>[13]</w:t>
      </w:r>
      <w:r w:rsidR="00C33DDA">
        <w:rPr>
          <w:lang w:val="en-GB"/>
        </w:rPr>
        <w:fldChar w:fldCharType="end"/>
      </w:r>
      <w:r w:rsidR="00C33DDA">
        <w:rPr>
          <w:lang w:val="en-GB"/>
        </w:rPr>
        <w:t xml:space="preserve"> for indoor are listed as:</w:t>
      </w:r>
    </w:p>
    <w:p w14:paraId="6CBE1F6B" w14:textId="77777777" w:rsidR="003F23FA" w:rsidRPr="00C33DDA" w:rsidRDefault="003F23FA" w:rsidP="00C33DDA">
      <w:pPr>
        <w:pStyle w:val="ListParagraph"/>
        <w:numPr>
          <w:ilvl w:val="0"/>
          <w:numId w:val="49"/>
        </w:numPr>
        <w:ind w:firstLineChars="0"/>
        <w:rPr>
          <w:sz w:val="20"/>
          <w:szCs w:val="20"/>
          <w:lang w:val="en-GB"/>
        </w:rPr>
      </w:pPr>
      <w:r w:rsidRPr="00C33DDA">
        <w:rPr>
          <w:sz w:val="20"/>
          <w:szCs w:val="20"/>
          <w:lang w:val="en-GB"/>
        </w:rPr>
        <w:t>Urban micro - street canyon</w:t>
      </w:r>
    </w:p>
    <w:p w14:paraId="54C83033" w14:textId="2A6A4D49" w:rsidR="003F23FA" w:rsidRPr="00C33DDA" w:rsidRDefault="003F23FA" w:rsidP="00C33DDA">
      <w:pPr>
        <w:pStyle w:val="ListParagraph"/>
        <w:numPr>
          <w:ilvl w:val="0"/>
          <w:numId w:val="49"/>
        </w:numPr>
        <w:ind w:firstLineChars="0"/>
        <w:rPr>
          <w:sz w:val="20"/>
          <w:szCs w:val="20"/>
          <w:lang w:val="en-GB"/>
        </w:rPr>
      </w:pPr>
      <w:r w:rsidRPr="00C33DDA">
        <w:rPr>
          <w:sz w:val="20"/>
          <w:szCs w:val="20"/>
          <w:lang w:val="en-GB"/>
        </w:rPr>
        <w:t>Urban macro</w:t>
      </w:r>
    </w:p>
    <w:p w14:paraId="1EEDF6C3" w14:textId="77777777" w:rsidR="003F23FA" w:rsidRPr="00C33DDA" w:rsidRDefault="003F23FA" w:rsidP="00C33DDA">
      <w:pPr>
        <w:pStyle w:val="ListParagraph"/>
        <w:numPr>
          <w:ilvl w:val="0"/>
          <w:numId w:val="49"/>
        </w:numPr>
        <w:ind w:firstLineChars="0"/>
        <w:rPr>
          <w:sz w:val="20"/>
          <w:szCs w:val="20"/>
          <w:lang w:val="en-GB"/>
        </w:rPr>
      </w:pPr>
      <w:r w:rsidRPr="00C33DDA">
        <w:rPr>
          <w:sz w:val="20"/>
          <w:szCs w:val="20"/>
          <w:lang w:val="en-GB"/>
        </w:rPr>
        <w:t>Indoor - office</w:t>
      </w:r>
    </w:p>
    <w:p w14:paraId="2A204F56" w14:textId="77777777" w:rsidR="003F23FA" w:rsidRPr="00C33DDA" w:rsidRDefault="003F23FA" w:rsidP="00C33DDA">
      <w:pPr>
        <w:pStyle w:val="ListParagraph"/>
        <w:numPr>
          <w:ilvl w:val="0"/>
          <w:numId w:val="49"/>
        </w:numPr>
        <w:ind w:firstLineChars="0"/>
        <w:rPr>
          <w:sz w:val="20"/>
          <w:szCs w:val="20"/>
          <w:lang w:val="en-GB"/>
        </w:rPr>
      </w:pPr>
      <w:r w:rsidRPr="00C33DDA">
        <w:rPr>
          <w:sz w:val="20"/>
          <w:szCs w:val="20"/>
          <w:lang w:val="en-GB"/>
        </w:rPr>
        <w:t>Urban micro - open square</w:t>
      </w:r>
    </w:p>
    <w:p w14:paraId="34906E6F" w14:textId="77777777" w:rsidR="003F23FA" w:rsidRDefault="003F23FA" w:rsidP="00C33DDA">
      <w:pPr>
        <w:pStyle w:val="ListParagraph"/>
        <w:numPr>
          <w:ilvl w:val="0"/>
          <w:numId w:val="49"/>
        </w:numPr>
        <w:ind w:firstLineChars="0"/>
        <w:rPr>
          <w:sz w:val="20"/>
          <w:szCs w:val="20"/>
          <w:lang w:val="en-GB"/>
        </w:rPr>
      </w:pPr>
      <w:r w:rsidRPr="00C33DDA">
        <w:rPr>
          <w:sz w:val="20"/>
          <w:szCs w:val="20"/>
          <w:lang w:val="en-GB"/>
        </w:rPr>
        <w:t>Indoor - shopping mall</w:t>
      </w:r>
    </w:p>
    <w:p w14:paraId="2C7E9891" w14:textId="77777777" w:rsidR="00C33DDA" w:rsidRPr="00C33DDA" w:rsidRDefault="00C33DDA" w:rsidP="00C33DDA">
      <w:pPr>
        <w:pStyle w:val="ListParagraph"/>
        <w:ind w:left="720" w:firstLineChars="0" w:firstLine="0"/>
        <w:rPr>
          <w:sz w:val="20"/>
          <w:szCs w:val="20"/>
          <w:lang w:val="en-GB"/>
        </w:rPr>
      </w:pPr>
    </w:p>
    <w:p w14:paraId="74ED53A9" w14:textId="1C7D393A" w:rsidR="003F23FA" w:rsidRDefault="00C33DDA" w:rsidP="00C33DDA">
      <w:pPr>
        <w:rPr>
          <w:lang w:val="en-GB"/>
        </w:rPr>
      </w:pPr>
      <w:r>
        <w:rPr>
          <w:lang w:val="en-GB"/>
        </w:rPr>
        <w:t xml:space="preserve">It could be debated that urban macro and urban micro are not indoor, however there are assertions in </w:t>
      </w:r>
      <w:r>
        <w:rPr>
          <w:lang w:val="en-GB"/>
        </w:rPr>
        <w:fldChar w:fldCharType="begin"/>
      </w:r>
      <w:r>
        <w:rPr>
          <w:lang w:val="en-GB"/>
        </w:rPr>
        <w:instrText xml:space="preserve"> REF _Ref40110016 \w \h </w:instrText>
      </w:r>
      <w:r>
        <w:rPr>
          <w:lang w:val="en-GB"/>
        </w:rPr>
      </w:r>
      <w:r>
        <w:rPr>
          <w:lang w:val="en-GB"/>
        </w:rPr>
        <w:fldChar w:fldCharType="separate"/>
      </w:r>
      <w:r>
        <w:rPr>
          <w:lang w:val="en-GB"/>
        </w:rPr>
        <w:t>[11]</w:t>
      </w:r>
      <w:r>
        <w:rPr>
          <w:lang w:val="en-GB"/>
        </w:rPr>
        <w:fldChar w:fldCharType="end"/>
      </w:r>
      <w:r>
        <w:rPr>
          <w:lang w:val="en-GB"/>
        </w:rPr>
        <w:t xml:space="preserve"> </w:t>
      </w:r>
      <w:r w:rsidR="00587D3F">
        <w:rPr>
          <w:lang w:val="en-GB"/>
        </w:rPr>
        <w:t xml:space="preserve">and </w:t>
      </w:r>
      <w:r w:rsidR="00587D3F">
        <w:rPr>
          <w:lang w:val="en-GB"/>
        </w:rPr>
        <w:fldChar w:fldCharType="begin"/>
      </w:r>
      <w:r w:rsidR="00587D3F">
        <w:rPr>
          <w:lang w:val="en-GB"/>
        </w:rPr>
        <w:instrText xml:space="preserve"> REF _Ref40109973 \w \h </w:instrText>
      </w:r>
      <w:r w:rsidR="00587D3F">
        <w:rPr>
          <w:lang w:val="en-GB"/>
        </w:rPr>
      </w:r>
      <w:r w:rsidR="00587D3F">
        <w:rPr>
          <w:lang w:val="en-GB"/>
        </w:rPr>
        <w:fldChar w:fldCharType="separate"/>
      </w:r>
      <w:r w:rsidR="00587D3F">
        <w:rPr>
          <w:lang w:val="en-GB"/>
        </w:rPr>
        <w:t>[12]</w:t>
      </w:r>
      <w:r w:rsidR="00587D3F">
        <w:rPr>
          <w:lang w:val="en-GB"/>
        </w:rPr>
        <w:fldChar w:fldCharType="end"/>
      </w:r>
      <w:r>
        <w:rPr>
          <w:lang w:val="en-GB"/>
        </w:rPr>
        <w:t xml:space="preserve"> that these might extend to indoor too. Appropriate corresponding channel model parameterization</w:t>
      </w:r>
      <w:r w:rsidR="003F23FA">
        <w:rPr>
          <w:lang w:val="en-GB"/>
        </w:rPr>
        <w:t xml:space="preserve"> for 57 to 72 GHz should be utilized in these scenario modelling.</w:t>
      </w:r>
      <w:r>
        <w:rPr>
          <w:lang w:val="en-GB"/>
        </w:rPr>
        <w:t xml:space="preserve"> Maybe somewhat obviously, 3GPP should consider low to no mobility only.</w:t>
      </w:r>
    </w:p>
    <w:p w14:paraId="7033EA5D" w14:textId="7ABAD846" w:rsidR="00C33DDA" w:rsidRPr="00C33DDA" w:rsidRDefault="00C33DDA" w:rsidP="00C33DDA">
      <w:pPr>
        <w:rPr>
          <w:lang w:val="en-GB"/>
        </w:rPr>
      </w:pPr>
      <w:r>
        <w:rPr>
          <w:lang w:val="en-GB"/>
        </w:rPr>
        <w:t>L</w:t>
      </w:r>
      <w:r w:rsidRPr="00C33DDA">
        <w:rPr>
          <w:lang w:val="en-GB"/>
        </w:rPr>
        <w:t>ink budget analysis</w:t>
      </w:r>
      <w:r>
        <w:rPr>
          <w:lang w:val="en-GB"/>
        </w:rPr>
        <w:t xml:space="preserve"> for both LOS and NLOS cases show that </w:t>
      </w:r>
      <w:r w:rsidRPr="00C33DDA">
        <w:rPr>
          <w:lang w:val="en-GB"/>
        </w:rPr>
        <w:t xml:space="preserve">both the FCC and ETSI rules </w:t>
      </w:r>
      <w:r>
        <w:rPr>
          <w:lang w:val="en-GB"/>
        </w:rPr>
        <w:t xml:space="preserve">described in </w:t>
      </w:r>
      <w:r>
        <w:rPr>
          <w:lang w:val="en-GB"/>
        </w:rPr>
        <w:fldChar w:fldCharType="begin"/>
      </w:r>
      <w:r>
        <w:rPr>
          <w:lang w:val="en-GB"/>
        </w:rPr>
        <w:instrText xml:space="preserve"> REF _Ref40198113 \h </w:instrText>
      </w:r>
      <w:r>
        <w:rPr>
          <w:lang w:val="en-GB"/>
        </w:rPr>
      </w:r>
      <w:r>
        <w:rPr>
          <w:lang w:val="en-GB"/>
        </w:rPr>
        <w:fldChar w:fldCharType="separate"/>
      </w:r>
      <w:r w:rsidRPr="00DC66F3">
        <w:t xml:space="preserve">Table </w:t>
      </w:r>
      <w:r w:rsidRPr="00DC66F3">
        <w:rPr>
          <w:noProof/>
        </w:rPr>
        <w:t>1</w:t>
      </w:r>
      <w:r>
        <w:rPr>
          <w:lang w:val="en-GB"/>
        </w:rPr>
        <w:fldChar w:fldCharType="end"/>
      </w:r>
      <w:r>
        <w:rPr>
          <w:lang w:val="en-GB"/>
        </w:rPr>
        <w:t xml:space="preserve"> </w:t>
      </w:r>
      <w:r w:rsidRPr="00C33DDA">
        <w:rPr>
          <w:lang w:val="en-GB"/>
        </w:rPr>
        <w:t xml:space="preserve">allow for meaningful throughput with </w:t>
      </w:r>
      <w:r>
        <w:rPr>
          <w:lang w:val="en-GB"/>
        </w:rPr>
        <w:t xml:space="preserve">some </w:t>
      </w:r>
      <w:r w:rsidRPr="00C33DDA">
        <w:rPr>
          <w:lang w:val="en-GB"/>
        </w:rPr>
        <w:t>ease in the</w:t>
      </w:r>
      <w:r>
        <w:rPr>
          <w:lang w:val="en-GB"/>
        </w:rPr>
        <w:t>se</w:t>
      </w:r>
      <w:r w:rsidR="00587D3F">
        <w:rPr>
          <w:lang w:val="en-GB"/>
        </w:rPr>
        <w:t xml:space="preserve"> indoor environments.</w:t>
      </w:r>
    </w:p>
    <w:p w14:paraId="600BD17C" w14:textId="328FE5B2" w:rsidR="00A35DF7" w:rsidRDefault="00A35DF7" w:rsidP="003F23FA">
      <w:pPr>
        <w:pStyle w:val="Heading2"/>
      </w:pPr>
      <w:r>
        <w:t>Traffic model</w:t>
      </w:r>
    </w:p>
    <w:p w14:paraId="52DDD070" w14:textId="2598A1A0" w:rsidR="00472FE3" w:rsidRPr="00472FE3" w:rsidRDefault="00472FE3" w:rsidP="00472FE3">
      <w:pPr>
        <w:rPr>
          <w:lang w:val="en-GB"/>
        </w:rPr>
      </w:pPr>
      <w:r w:rsidRPr="00472FE3">
        <w:rPr>
          <w:lang w:val="en-GB"/>
        </w:rPr>
        <w:t xml:space="preserve">Most traffic models in </w:t>
      </w:r>
      <w:r>
        <w:rPr>
          <w:lang w:val="en-GB"/>
        </w:rPr>
        <w:t>3GPP studies originated from</w:t>
      </w:r>
      <w:r w:rsidRPr="00472FE3">
        <w:rPr>
          <w:lang w:val="en-GB"/>
        </w:rPr>
        <w:t xml:space="preserve"> LTE</w:t>
      </w:r>
      <w:r>
        <w:rPr>
          <w:lang w:val="en-GB"/>
        </w:rPr>
        <w:t xml:space="preserve"> </w:t>
      </w:r>
      <w:r>
        <w:rPr>
          <w:lang w:val="en-GB"/>
        </w:rPr>
        <w:fldChar w:fldCharType="begin"/>
      </w:r>
      <w:r>
        <w:rPr>
          <w:lang w:val="en-GB"/>
        </w:rPr>
        <w:instrText xml:space="preserve"> REF _Ref40449616 \w \h </w:instrText>
      </w:r>
      <w:r>
        <w:rPr>
          <w:lang w:val="en-GB"/>
        </w:rPr>
      </w:r>
      <w:r>
        <w:rPr>
          <w:lang w:val="en-GB"/>
        </w:rPr>
        <w:fldChar w:fldCharType="separate"/>
      </w:r>
      <w:r>
        <w:rPr>
          <w:lang w:val="en-GB"/>
        </w:rPr>
        <w:t>[14]</w:t>
      </w:r>
      <w:r>
        <w:rPr>
          <w:lang w:val="en-GB"/>
        </w:rPr>
        <w:fldChar w:fldCharType="end"/>
      </w:r>
      <w:r w:rsidRPr="00472FE3">
        <w:rPr>
          <w:lang w:val="en-GB"/>
        </w:rPr>
        <w:t>, including two FTP models: FTP Model 1 and FTP Model 2. In LAA study, a third FTP model</w:t>
      </w:r>
      <w:r w:rsidR="008B2009">
        <w:rPr>
          <w:lang w:val="en-GB"/>
        </w:rPr>
        <w:t>,</w:t>
      </w:r>
      <w:r w:rsidRPr="00472FE3">
        <w:rPr>
          <w:lang w:val="en-GB"/>
        </w:rPr>
        <w:t xml:space="preserve"> FTP Model 3</w:t>
      </w:r>
      <w:r w:rsidR="008B2009">
        <w:rPr>
          <w:lang w:val="en-GB"/>
        </w:rPr>
        <w:t>,</w:t>
      </w:r>
      <w:r w:rsidRPr="00472FE3">
        <w:rPr>
          <w:lang w:val="en-GB"/>
        </w:rPr>
        <w:t xml:space="preserve"> was introduced in </w:t>
      </w:r>
      <w:r w:rsidR="008B2009">
        <w:rPr>
          <w:lang w:val="en-GB"/>
        </w:rPr>
        <w:fldChar w:fldCharType="begin"/>
      </w:r>
      <w:r w:rsidR="008B2009">
        <w:rPr>
          <w:lang w:val="en-GB"/>
        </w:rPr>
        <w:instrText xml:space="preserve"> REF _Ref40449714 \w \h </w:instrText>
      </w:r>
      <w:r w:rsidR="008B2009">
        <w:rPr>
          <w:lang w:val="en-GB"/>
        </w:rPr>
      </w:r>
      <w:r w:rsidR="008B2009">
        <w:rPr>
          <w:lang w:val="en-GB"/>
        </w:rPr>
        <w:fldChar w:fldCharType="separate"/>
      </w:r>
      <w:r w:rsidR="008B2009">
        <w:rPr>
          <w:lang w:val="en-GB"/>
        </w:rPr>
        <w:t>[15]</w:t>
      </w:r>
      <w:r w:rsidR="008B2009">
        <w:rPr>
          <w:lang w:val="en-GB"/>
        </w:rPr>
        <w:fldChar w:fldCharType="end"/>
      </w:r>
      <w:r w:rsidRPr="00472FE3">
        <w:rPr>
          <w:lang w:val="en-GB"/>
        </w:rPr>
        <w:t xml:space="preserve">. It is based on the FTP Model 2 in </w:t>
      </w:r>
      <w:r w:rsidR="008B2009">
        <w:rPr>
          <w:lang w:val="en-GB"/>
        </w:rPr>
        <w:fldChar w:fldCharType="begin"/>
      </w:r>
      <w:r w:rsidR="008B2009">
        <w:rPr>
          <w:lang w:val="en-GB"/>
        </w:rPr>
        <w:instrText xml:space="preserve"> REF _Ref40449616 \w \h </w:instrText>
      </w:r>
      <w:r w:rsidR="008B2009">
        <w:rPr>
          <w:lang w:val="en-GB"/>
        </w:rPr>
      </w:r>
      <w:r w:rsidR="008B2009">
        <w:rPr>
          <w:lang w:val="en-GB"/>
        </w:rPr>
        <w:fldChar w:fldCharType="separate"/>
      </w:r>
      <w:r w:rsidR="008B2009">
        <w:rPr>
          <w:lang w:val="en-GB"/>
        </w:rPr>
        <w:t>[14]</w:t>
      </w:r>
      <w:r w:rsidR="008B2009">
        <w:rPr>
          <w:lang w:val="en-GB"/>
        </w:rPr>
        <w:fldChar w:fldCharType="end"/>
      </w:r>
      <w:r w:rsidR="008B2009">
        <w:rPr>
          <w:lang w:val="en-GB"/>
        </w:rPr>
        <w:t xml:space="preserve"> </w:t>
      </w:r>
      <w:r w:rsidR="008B2009">
        <w:rPr>
          <w:lang w:val="en-GB"/>
        </w:rPr>
        <w:t xml:space="preserve">except </w:t>
      </w:r>
      <w:r w:rsidR="008B2009" w:rsidRPr="008B2009">
        <w:rPr>
          <w:lang w:val="en-GB"/>
        </w:rPr>
        <w:t xml:space="preserve">that packets for the same UE arrive according to a Poisson process with arrival rate </w:t>
      </w:r>
      <w:r w:rsidR="008B2009" w:rsidRPr="008B2009">
        <w:rPr>
          <w:rFonts w:ascii="Cambria Math" w:hAnsi="Cambria Math" w:cs="Cambria Math"/>
          <w:lang w:val="en-GB"/>
        </w:rPr>
        <w:t>𝜆</w:t>
      </w:r>
      <w:r w:rsidR="008B2009" w:rsidRPr="008B2009">
        <w:rPr>
          <w:lang w:val="en-GB"/>
        </w:rPr>
        <w:t xml:space="preserve"> and the transmission time of a packet is counted from the time instance it arrives in the queue</w:t>
      </w:r>
      <w:r w:rsidRPr="00472FE3">
        <w:rPr>
          <w:lang w:val="en-GB"/>
        </w:rPr>
        <w:t xml:space="preserve">. FTP Model 3 and FTP Model 1 are the two models used in </w:t>
      </w:r>
      <w:r w:rsidR="008B2009">
        <w:rPr>
          <w:lang w:val="en-GB"/>
        </w:rPr>
        <w:t xml:space="preserve">the </w:t>
      </w:r>
      <w:r w:rsidRPr="00472FE3">
        <w:rPr>
          <w:lang w:val="en-GB"/>
        </w:rPr>
        <w:t>LAA co-existence study.</w:t>
      </w:r>
    </w:p>
    <w:p w14:paraId="229232AE" w14:textId="0A9EEC57" w:rsidR="00472FE3" w:rsidRPr="00472FE3" w:rsidRDefault="00472FE3" w:rsidP="00472FE3">
      <w:pPr>
        <w:rPr>
          <w:lang w:val="en-GB"/>
        </w:rPr>
      </w:pPr>
      <w:r w:rsidRPr="00472FE3">
        <w:rPr>
          <w:lang w:val="en-GB"/>
        </w:rPr>
        <w:t xml:space="preserve">Sub-7 GHz NR-U study reused the traffic </w:t>
      </w:r>
      <w:r w:rsidR="008B2009">
        <w:rPr>
          <w:lang w:val="en-GB"/>
        </w:rPr>
        <w:t xml:space="preserve">models from LAA, without change. </w:t>
      </w:r>
      <w:r w:rsidRPr="00472FE3">
        <w:rPr>
          <w:lang w:val="en-GB"/>
        </w:rPr>
        <w:t xml:space="preserve">All the simulation results compiled in </w:t>
      </w:r>
      <w:r w:rsidR="008B2009">
        <w:rPr>
          <w:lang w:val="en-GB"/>
        </w:rPr>
        <w:fldChar w:fldCharType="begin"/>
      </w:r>
      <w:r w:rsidR="008B2009">
        <w:rPr>
          <w:lang w:val="en-GB"/>
        </w:rPr>
        <w:instrText xml:space="preserve"> REF _Ref40449714 \w \h </w:instrText>
      </w:r>
      <w:r w:rsidR="008B2009">
        <w:rPr>
          <w:lang w:val="en-GB"/>
        </w:rPr>
      </w:r>
      <w:r w:rsidR="008B2009">
        <w:rPr>
          <w:lang w:val="en-GB"/>
        </w:rPr>
        <w:fldChar w:fldCharType="separate"/>
      </w:r>
      <w:r w:rsidR="008B2009">
        <w:rPr>
          <w:lang w:val="en-GB"/>
        </w:rPr>
        <w:t>[15]</w:t>
      </w:r>
      <w:r w:rsidR="008B2009">
        <w:rPr>
          <w:lang w:val="en-GB"/>
        </w:rPr>
        <w:fldChar w:fldCharType="end"/>
      </w:r>
      <w:r w:rsidRPr="00472FE3">
        <w:rPr>
          <w:lang w:val="en-GB"/>
        </w:rPr>
        <w:t xml:space="preserve"> are based on these models.</w:t>
      </w:r>
    </w:p>
    <w:p w14:paraId="5DAEF674" w14:textId="663D9012" w:rsidR="00472FE3" w:rsidRDefault="00472FE3" w:rsidP="00472FE3">
      <w:pPr>
        <w:rPr>
          <w:lang w:val="en-GB"/>
        </w:rPr>
      </w:pPr>
      <w:r w:rsidRPr="00472FE3">
        <w:rPr>
          <w:lang w:val="en-GB"/>
        </w:rPr>
        <w:t>The arrival rate of these traffic models varies, but the fil</w:t>
      </w:r>
      <w:r>
        <w:rPr>
          <w:lang w:val="en-GB"/>
        </w:rPr>
        <w:t>e size is fixed at 0.5 MB. T</w:t>
      </w:r>
      <w:r w:rsidRPr="00472FE3">
        <w:rPr>
          <w:lang w:val="en-GB"/>
        </w:rPr>
        <w:t xml:space="preserve">hey </w:t>
      </w:r>
      <w:r>
        <w:rPr>
          <w:lang w:val="en-GB"/>
        </w:rPr>
        <w:t xml:space="preserve">were chosen to </w:t>
      </w:r>
      <w:r w:rsidRPr="00472FE3">
        <w:rPr>
          <w:lang w:val="en-GB"/>
        </w:rPr>
        <w:t xml:space="preserve">emulate web browsing application, which is probably not what </w:t>
      </w:r>
      <w:r w:rsidR="008B2009">
        <w:rPr>
          <w:lang w:val="en-GB"/>
        </w:rPr>
        <w:t>3GPP is</w:t>
      </w:r>
      <w:r>
        <w:rPr>
          <w:lang w:val="en-GB"/>
        </w:rPr>
        <w:t xml:space="preserve"> target</w:t>
      </w:r>
      <w:r w:rsidR="008B2009">
        <w:rPr>
          <w:lang w:val="en-GB"/>
        </w:rPr>
        <w:t>ing</w:t>
      </w:r>
      <w:r>
        <w:rPr>
          <w:lang w:val="en-GB"/>
        </w:rPr>
        <w:t xml:space="preserve"> for </w:t>
      </w:r>
      <w:r w:rsidRPr="00472FE3">
        <w:rPr>
          <w:lang w:val="en-GB"/>
        </w:rPr>
        <w:t>57 to 72 GHz</w:t>
      </w:r>
      <w:r w:rsidRPr="00472FE3">
        <w:rPr>
          <w:lang w:val="en-GB"/>
        </w:rPr>
        <w:t xml:space="preserve">. </w:t>
      </w:r>
      <w:r>
        <w:rPr>
          <w:lang w:val="en-GB"/>
        </w:rPr>
        <w:t xml:space="preserve">We would suggest to update the fixed file size to support applications intended for these </w:t>
      </w:r>
      <w:r w:rsidRPr="00472FE3">
        <w:rPr>
          <w:lang w:val="en-GB"/>
        </w:rPr>
        <w:t>57 to 72 GHz</w:t>
      </w:r>
      <w:r>
        <w:rPr>
          <w:lang w:val="en-GB"/>
        </w:rPr>
        <w:t xml:space="preserve"> use cases.</w:t>
      </w:r>
    </w:p>
    <w:p w14:paraId="0DCB1BD9" w14:textId="77777777" w:rsidR="008B2009" w:rsidRPr="008B2009" w:rsidRDefault="008B2009" w:rsidP="008B2009">
      <w:pPr>
        <w:rPr>
          <w:b/>
          <w:lang w:val="en-GB"/>
        </w:rPr>
      </w:pPr>
      <w:r w:rsidRPr="008B2009">
        <w:rPr>
          <w:b/>
          <w:lang w:val="en-GB"/>
        </w:rPr>
        <w:t>Observation: Whatever the traffic model used for greater than 57GHz, it will likely require a larger file size than is currently specified in any previous 3GPP reports covering traffic modelling.</w:t>
      </w:r>
    </w:p>
    <w:p w14:paraId="3CA3B9B1" w14:textId="018C001B" w:rsidR="00472FE3" w:rsidRDefault="00472FE3" w:rsidP="00472FE3">
      <w:pPr>
        <w:rPr>
          <w:lang w:val="en-GB"/>
        </w:rPr>
      </w:pPr>
      <w:r>
        <w:rPr>
          <w:lang w:val="en-GB"/>
        </w:rPr>
        <w:t xml:space="preserve">The Release-17 approved but postponed study item on XR may provide a valuable starting point to determining what any new file size should be for these applications expecting an </w:t>
      </w:r>
      <w:r w:rsidRPr="00472FE3">
        <w:rPr>
          <w:lang w:val="en-GB"/>
        </w:rPr>
        <w:t xml:space="preserve">average data rate of 100 Mbps and </w:t>
      </w:r>
      <w:r>
        <w:rPr>
          <w:lang w:val="en-GB"/>
        </w:rPr>
        <w:t>a peak data rate of 300 Mbps.</w:t>
      </w:r>
    </w:p>
    <w:p w14:paraId="37349ED6" w14:textId="560455B4" w:rsidR="00A35DF7" w:rsidRDefault="00A35DF7" w:rsidP="00472FE3">
      <w:pPr>
        <w:pStyle w:val="Heading2"/>
      </w:pPr>
      <w:r>
        <w:t>Baseline channel access mechanism</w:t>
      </w:r>
    </w:p>
    <w:p w14:paraId="3BBEC3E5" w14:textId="3070D66E" w:rsidR="0042394F" w:rsidRDefault="0042394F" w:rsidP="00544922">
      <w:pPr>
        <w:rPr>
          <w:lang w:val="en-GB"/>
        </w:rPr>
      </w:pPr>
      <w:r>
        <w:rPr>
          <w:lang w:val="en-GB"/>
        </w:rPr>
        <w:t>The only regulation that specifies</w:t>
      </w:r>
      <w:r w:rsidR="00D01B2E">
        <w:rPr>
          <w:lang w:val="en-GB"/>
        </w:rPr>
        <w:t xml:space="preserve"> any rules for channel access can be found in </w:t>
      </w:r>
      <w:r w:rsidR="00D01B2E">
        <w:rPr>
          <w:lang w:val="en-GB"/>
        </w:rPr>
        <w:fldChar w:fldCharType="begin"/>
      </w:r>
      <w:r w:rsidR="00D01B2E">
        <w:rPr>
          <w:lang w:val="en-GB"/>
        </w:rPr>
        <w:instrText xml:space="preserve"> REF _Ref40377435 \w \h </w:instrText>
      </w:r>
      <w:r w:rsidR="00D01B2E">
        <w:rPr>
          <w:lang w:val="en-GB"/>
        </w:rPr>
      </w:r>
      <w:r w:rsidR="00D01B2E">
        <w:rPr>
          <w:lang w:val="en-GB"/>
        </w:rPr>
        <w:fldChar w:fldCharType="separate"/>
      </w:r>
      <w:r w:rsidR="00D01B2E">
        <w:rPr>
          <w:lang w:val="en-GB"/>
        </w:rPr>
        <w:t>[5]</w:t>
      </w:r>
      <w:r w:rsidR="00D01B2E">
        <w:rPr>
          <w:lang w:val="en-GB"/>
        </w:rPr>
        <w:fldChar w:fldCharType="end"/>
      </w:r>
      <w:r w:rsidR="00D01B2E">
        <w:rPr>
          <w:lang w:val="en-GB"/>
        </w:rPr>
        <w:t xml:space="preserve">. </w:t>
      </w:r>
      <w:r w:rsidR="000910FD">
        <w:rPr>
          <w:lang w:val="en-GB"/>
        </w:rPr>
        <w:t xml:space="preserve">The current version defers to an idle period of 8us followed by a random number of 5us observation slots with a maximum of 127 observation slots. However, in a recent ETSI BRAN meeting it was agreed to rewrite this to the same idle period of 8us followed by a random number of 5us observation slots instead with a minimum of 3 observation slots. </w:t>
      </w:r>
      <w:r w:rsidR="00CD589C">
        <w:rPr>
          <w:lang w:val="en-GB"/>
        </w:rPr>
        <w:t>A timing diagra</w:t>
      </w:r>
      <w:r w:rsidR="00E85299">
        <w:rPr>
          <w:lang w:val="en-GB"/>
        </w:rPr>
        <w:t>m of this</w:t>
      </w:r>
      <w:r w:rsidR="00CD589C">
        <w:rPr>
          <w:lang w:val="en-GB"/>
        </w:rPr>
        <w:t xml:space="preserve"> is shown in </w:t>
      </w:r>
      <w:r w:rsidR="00CD589C">
        <w:rPr>
          <w:lang w:val="en-GB"/>
        </w:rPr>
        <w:fldChar w:fldCharType="begin"/>
      </w:r>
      <w:r w:rsidR="00CD589C">
        <w:rPr>
          <w:lang w:val="en-GB"/>
        </w:rPr>
        <w:instrText xml:space="preserve"> REF _Ref40378926 \h </w:instrText>
      </w:r>
      <w:r w:rsidR="00CD589C">
        <w:rPr>
          <w:lang w:val="en-GB"/>
        </w:rPr>
      </w:r>
      <w:r w:rsidR="00CD589C">
        <w:rPr>
          <w:lang w:val="en-GB"/>
        </w:rPr>
        <w:fldChar w:fldCharType="separate"/>
      </w:r>
      <w:r w:rsidR="00CD589C">
        <w:t xml:space="preserve">Figure </w:t>
      </w:r>
      <w:r w:rsidR="00CD589C">
        <w:rPr>
          <w:noProof/>
        </w:rPr>
        <w:t>1</w:t>
      </w:r>
      <w:r w:rsidR="00CD589C">
        <w:rPr>
          <w:lang w:val="en-GB"/>
        </w:rPr>
        <w:fldChar w:fldCharType="end"/>
      </w:r>
      <w:r w:rsidR="00CD589C">
        <w:rPr>
          <w:lang w:val="en-GB"/>
        </w:rPr>
        <w:t xml:space="preserve">. </w:t>
      </w:r>
      <w:r w:rsidR="000910FD">
        <w:rPr>
          <w:lang w:val="en-GB"/>
        </w:rPr>
        <w:t>Going forward there will not be a maxim</w:t>
      </w:r>
      <w:r w:rsidR="00CD589C">
        <w:rPr>
          <w:lang w:val="en-GB"/>
        </w:rPr>
        <w:t>um number of observation slots.</w:t>
      </w:r>
    </w:p>
    <w:p w14:paraId="484C48AD" w14:textId="77777777" w:rsidR="00CD589C" w:rsidRDefault="00CD589C" w:rsidP="00CD589C">
      <w:pPr>
        <w:keepNext/>
      </w:pPr>
      <w:r w:rsidRPr="00CD589C">
        <w:rPr>
          <w:noProof/>
          <w:lang w:eastAsia="en-US"/>
        </w:rPr>
        <w:lastRenderedPageBreak/>
        <w:drawing>
          <wp:inline distT="0" distB="0" distL="0" distR="0" wp14:anchorId="5D2D69BC" wp14:editId="323E2D76">
            <wp:extent cx="6122035" cy="4387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438785"/>
                    </a:xfrm>
                    <a:prstGeom prst="rect">
                      <a:avLst/>
                    </a:prstGeom>
                  </pic:spPr>
                </pic:pic>
              </a:graphicData>
            </a:graphic>
          </wp:inline>
        </w:drawing>
      </w:r>
    </w:p>
    <w:p w14:paraId="7B2E2191" w14:textId="0EC9F828" w:rsidR="00CD589C" w:rsidRDefault="00CD589C" w:rsidP="00CD589C">
      <w:pPr>
        <w:pStyle w:val="Caption"/>
        <w:jc w:val="center"/>
      </w:pPr>
      <w:bookmarkStart w:id="5" w:name="_Ref40378926"/>
      <w:r>
        <w:t xml:space="preserve">Figure </w:t>
      </w:r>
      <w:r>
        <w:fldChar w:fldCharType="begin"/>
      </w:r>
      <w:r>
        <w:instrText xml:space="preserve"> SEQ Figure \* ARABIC </w:instrText>
      </w:r>
      <w:r>
        <w:fldChar w:fldCharType="separate"/>
      </w:r>
      <w:r>
        <w:rPr>
          <w:noProof/>
        </w:rPr>
        <w:t>1</w:t>
      </w:r>
      <w:r>
        <w:fldChar w:fldCharType="end"/>
      </w:r>
      <w:bookmarkEnd w:id="5"/>
      <w:r>
        <w:t>: EN 302 567 channel access restrictions</w:t>
      </w:r>
    </w:p>
    <w:p w14:paraId="14BCEB44" w14:textId="6CA7E47B" w:rsidR="00587D3F" w:rsidRDefault="00587D3F" w:rsidP="00587D3F">
      <w:r>
        <w:t xml:space="preserve">It has been shown in ETSI BRAN submissions towards </w:t>
      </w:r>
      <w:r>
        <w:fldChar w:fldCharType="begin"/>
      </w:r>
      <w:r>
        <w:instrText xml:space="preserve"> REF _Ref40377435 \w \h </w:instrText>
      </w:r>
      <w:r>
        <w:fldChar w:fldCharType="separate"/>
      </w:r>
      <w:r>
        <w:t>[1]</w:t>
      </w:r>
      <w:r>
        <w:fldChar w:fldCharType="end"/>
      </w:r>
      <w:r>
        <w:t xml:space="preserve"> and </w:t>
      </w:r>
      <w:r>
        <w:fldChar w:fldCharType="begin"/>
      </w:r>
      <w:r>
        <w:instrText xml:space="preserve"> REF _Ref40428994 \w \h </w:instrText>
      </w:r>
      <w:r>
        <w:fldChar w:fldCharType="separate"/>
      </w:r>
      <w:r>
        <w:t>[4]</w:t>
      </w:r>
      <w:r>
        <w:fldChar w:fldCharType="end"/>
      </w:r>
      <w:r>
        <w:t xml:space="preserve"> that even though coexistence is an important aspect of unlicensed spectrum and not to be ignored, the highly directional nature of &gt; 57GHz transmissions implies that the probability of encountering competing device interference in the exact same direction at the same time at a power level that is sufficient to create reception issues is quite low. This coupled by the fact that massive bandwidths are available resulting in massive instantaneous data-rates implies on-air time is likely to be greatly reduced for the same traffic load compared to sub 7GHz channel access. As a result, the expectation is that average COT sizes will likely be of much less duration than in sub 7GHz.</w:t>
      </w:r>
    </w:p>
    <w:p w14:paraId="7FF545A8" w14:textId="3EE1A970" w:rsidR="00587D3F" w:rsidRPr="00587D3F" w:rsidRDefault="00587D3F" w:rsidP="00587D3F">
      <w:pPr>
        <w:rPr>
          <w:b/>
        </w:rPr>
      </w:pPr>
      <w:r w:rsidRPr="00587D3F">
        <w:rPr>
          <w:b/>
        </w:rPr>
        <w:t>Observation: Average COT durations will likely be less than 1ms in duration.</w:t>
      </w:r>
    </w:p>
    <w:p w14:paraId="686581A6" w14:textId="47E52B83" w:rsidR="00A35DF7" w:rsidRDefault="00A35DF7" w:rsidP="00A35DF7">
      <w:pPr>
        <w:pStyle w:val="Heading2"/>
      </w:pPr>
      <w:r>
        <w:t>Co-existence with other system</w:t>
      </w:r>
    </w:p>
    <w:p w14:paraId="38AA642C" w14:textId="4EB3EEA3" w:rsidR="00E958C2" w:rsidRDefault="00E958C2" w:rsidP="00E958C2">
      <w:pPr>
        <w:rPr>
          <w:lang w:val="en-GB"/>
        </w:rPr>
      </w:pPr>
      <w:r>
        <w:rPr>
          <w:lang w:val="en-GB"/>
        </w:rPr>
        <w:t>Both the IEEE and 3GPP are developing standards that will access 57GHz to 72GHz unlicensed spectrum, as will SRDs possibly utilizing proprietary link definitions</w:t>
      </w:r>
      <w:r w:rsidR="002179C6">
        <w:rPr>
          <w:lang w:val="en-GB"/>
        </w:rPr>
        <w:t xml:space="preserve">. </w:t>
      </w:r>
      <w:r w:rsidR="00587D3F">
        <w:rPr>
          <w:lang w:val="en-GB"/>
        </w:rPr>
        <w:t xml:space="preserve">It is also true that IEE802.11ad is further along in this realm. </w:t>
      </w:r>
      <w:r w:rsidR="002179C6">
        <w:rPr>
          <w:lang w:val="en-GB"/>
        </w:rPr>
        <w:t>It is thus important that, like the 5GHz and 6GHz unlicensed spectrum allocations, coexistence be considered an important aspect of any new specification work.</w:t>
      </w:r>
    </w:p>
    <w:p w14:paraId="0E17D5D9" w14:textId="35EE5EF0" w:rsidR="002179C6" w:rsidRPr="00E958C2" w:rsidRDefault="002179C6" w:rsidP="00E958C2">
      <w:pPr>
        <w:rPr>
          <w:lang w:val="en-GB"/>
        </w:rPr>
      </w:pPr>
      <w:r>
        <w:rPr>
          <w:lang w:val="en-GB"/>
        </w:rPr>
        <w:t>It is important for 3GPP to maintain its standing as a good neighbour at this new frequency allocation, even while the possibiliti</w:t>
      </w:r>
      <w:r w:rsidR="00587D3F">
        <w:rPr>
          <w:lang w:val="en-GB"/>
        </w:rPr>
        <w:t>es for neighbour interference are</w:t>
      </w:r>
      <w:r>
        <w:rPr>
          <w:lang w:val="en-GB"/>
        </w:rPr>
        <w:t xml:space="preserve"> reduced due to highly directional antenna arrays.</w:t>
      </w:r>
    </w:p>
    <w:bookmarkEnd w:id="0"/>
    <w:p w14:paraId="281077DE" w14:textId="77777777" w:rsidR="004B78AB" w:rsidRDefault="004B78AB" w:rsidP="004B78AB">
      <w:pPr>
        <w:pStyle w:val="Heading1"/>
        <w:jc w:val="both"/>
        <w:rPr>
          <w:lang w:eastAsia="zh-CN"/>
        </w:rPr>
      </w:pPr>
      <w:r>
        <w:rPr>
          <w:lang w:eastAsia="zh-CN"/>
        </w:rPr>
        <w:t>Conclusion</w:t>
      </w:r>
    </w:p>
    <w:p w14:paraId="281077DF" w14:textId="021A1332" w:rsidR="00246FB3" w:rsidRDefault="00FD5644" w:rsidP="00B85260">
      <w:pPr>
        <w:jc w:val="both"/>
        <w:rPr>
          <w:lang w:val="en-GB" w:eastAsia="zh-CN"/>
        </w:rPr>
      </w:pPr>
      <w:r>
        <w:rPr>
          <w:lang w:val="en-GB" w:eastAsia="zh-CN"/>
        </w:rPr>
        <w:t>In this contribution, we</w:t>
      </w:r>
      <w:r w:rsidR="000436B3">
        <w:rPr>
          <w:lang w:val="en-GB" w:eastAsia="zh-CN"/>
        </w:rPr>
        <w:t xml:space="preserve"> make the flowing observation:</w:t>
      </w:r>
    </w:p>
    <w:p w14:paraId="68BFD2F2" w14:textId="54987EE2" w:rsidR="000436B3" w:rsidRDefault="000436B3" w:rsidP="00B85260">
      <w:pPr>
        <w:jc w:val="both"/>
        <w:rPr>
          <w:b/>
          <w:lang w:val="en-GB"/>
        </w:rPr>
      </w:pPr>
      <w:r w:rsidRPr="000436B3">
        <w:rPr>
          <w:b/>
          <w:lang w:val="en-GB"/>
        </w:rPr>
        <w:t>Observation: In a global context, currently only indoor low power use cases are universally covered worldwide</w:t>
      </w:r>
      <w:r>
        <w:rPr>
          <w:b/>
          <w:lang w:val="en-GB"/>
        </w:rPr>
        <w:t xml:space="preserve"> for the unlicensed spectrum above 57GHz</w:t>
      </w:r>
      <w:r w:rsidRPr="000436B3">
        <w:rPr>
          <w:b/>
          <w:lang w:val="en-GB"/>
        </w:rPr>
        <w:t>.</w:t>
      </w:r>
    </w:p>
    <w:p w14:paraId="4F9CE50A" w14:textId="77777777" w:rsidR="008B2009" w:rsidRPr="008B2009" w:rsidRDefault="008B2009" w:rsidP="008B2009">
      <w:pPr>
        <w:rPr>
          <w:b/>
          <w:lang w:val="en-GB"/>
        </w:rPr>
      </w:pPr>
      <w:r w:rsidRPr="008B2009">
        <w:rPr>
          <w:b/>
          <w:lang w:val="en-GB"/>
        </w:rPr>
        <w:t>Observation: Whatever the traffic model used for greater than 57GHz, it will likely require a larger file size than is currently specified in any previous 3GPP reports covering traffic modelling.</w:t>
      </w:r>
    </w:p>
    <w:p w14:paraId="68FAEDB3" w14:textId="77777777" w:rsidR="00587D3F" w:rsidRPr="00587D3F" w:rsidRDefault="00587D3F" w:rsidP="00587D3F">
      <w:pPr>
        <w:rPr>
          <w:b/>
        </w:rPr>
      </w:pPr>
      <w:r w:rsidRPr="00587D3F">
        <w:rPr>
          <w:b/>
        </w:rPr>
        <w:t>Observation: Average COT durations will likely be less than 1ms in duration.</w:t>
      </w:r>
    </w:p>
    <w:p w14:paraId="794884FB" w14:textId="3E643DD2" w:rsidR="000436B3" w:rsidRDefault="000436B3" w:rsidP="00B85260">
      <w:pPr>
        <w:jc w:val="both"/>
        <w:rPr>
          <w:lang w:val="en-GB"/>
        </w:rPr>
      </w:pPr>
      <w:r>
        <w:rPr>
          <w:lang w:val="en-GB"/>
        </w:rPr>
        <w:t>Further to this observation, we make the following proposal:</w:t>
      </w:r>
    </w:p>
    <w:p w14:paraId="30968437" w14:textId="77777777" w:rsidR="000436B3" w:rsidRPr="000436B3" w:rsidRDefault="000436B3" w:rsidP="000436B3">
      <w:pPr>
        <w:rPr>
          <w:b/>
          <w:lang w:val="en-GB"/>
        </w:rPr>
      </w:pPr>
      <w:r w:rsidRPr="000436B3">
        <w:rPr>
          <w:b/>
          <w:lang w:val="en-GB"/>
        </w:rPr>
        <w:t>Proposal: Prioritise simulation effort to use cases, scenarios, channel and traffic modelling that are relevant to indoor use cases only.</w:t>
      </w:r>
    </w:p>
    <w:p w14:paraId="28107801" w14:textId="3FA5BF88" w:rsidR="00557A25" w:rsidRDefault="00AA26EA" w:rsidP="00557A25">
      <w:pPr>
        <w:pStyle w:val="Heading1"/>
        <w:rPr>
          <w:lang w:eastAsia="zh-CN"/>
        </w:rPr>
      </w:pPr>
      <w:r>
        <w:rPr>
          <w:lang w:eastAsia="zh-CN"/>
        </w:rPr>
        <w:t>Reference</w:t>
      </w:r>
    </w:p>
    <w:p w14:paraId="4E7EB5E8" w14:textId="72B76E84" w:rsidR="00D525C3" w:rsidRDefault="00E512C7" w:rsidP="006D74E6">
      <w:pPr>
        <w:numPr>
          <w:ilvl w:val="0"/>
          <w:numId w:val="46"/>
        </w:numPr>
        <w:overflowPunct/>
        <w:autoSpaceDE/>
        <w:autoSpaceDN/>
        <w:adjustRightInd/>
        <w:spacing w:after="120"/>
        <w:textAlignment w:val="auto"/>
      </w:pPr>
      <w:bookmarkStart w:id="6" w:name="_Ref25759236"/>
      <w:bookmarkStart w:id="7" w:name="_Ref31118672"/>
      <w:bookmarkStart w:id="8" w:name="_Ref39945634"/>
      <w:bookmarkStart w:id="9" w:name="_Ref40377435"/>
      <w:r>
        <w:t>ETSI EN 302 567 V</w:t>
      </w:r>
      <w:r w:rsidR="00D525C3">
        <w:t>2.1.1 (2017-05)</w:t>
      </w:r>
      <w:bookmarkEnd w:id="6"/>
      <w:bookmarkEnd w:id="7"/>
      <w:bookmarkEnd w:id="8"/>
      <w:r w:rsidR="006D74E6">
        <w:t xml:space="preserve">, “Multiple-Gigabit/s radio equipment operating in the 60 GHz band “, currently in draft as </w:t>
      </w:r>
      <w:r w:rsidR="00064230" w:rsidRPr="006D74E6">
        <w:t xml:space="preserve">Draft ETSI EN </w:t>
      </w:r>
      <w:r w:rsidR="00064230">
        <w:t xml:space="preserve">302 567 </w:t>
      </w:r>
      <w:r w:rsidR="006D74E6" w:rsidRPr="006D74E6">
        <w:t>V2.1.18 (2020-03)</w:t>
      </w:r>
      <w:bookmarkEnd w:id="9"/>
    </w:p>
    <w:p w14:paraId="3F64B067" w14:textId="77777777" w:rsidR="009A1370" w:rsidRDefault="009A1370" w:rsidP="009A1370">
      <w:pPr>
        <w:numPr>
          <w:ilvl w:val="0"/>
          <w:numId w:val="46"/>
        </w:numPr>
        <w:overflowPunct/>
        <w:autoSpaceDE/>
        <w:autoSpaceDN/>
        <w:adjustRightInd/>
        <w:spacing w:after="120"/>
        <w:textAlignment w:val="auto"/>
      </w:pPr>
      <w:bookmarkStart w:id="10" w:name="_Ref40186371"/>
      <w:bookmarkStart w:id="11" w:name="_Ref39987985"/>
      <w:bookmarkStart w:id="12" w:name="_Ref39987947"/>
      <w:r w:rsidRPr="00D525C3">
        <w:t>European Research Council (ERC) Recommendation 70-03</w:t>
      </w:r>
      <w:bookmarkEnd w:id="12"/>
    </w:p>
    <w:p w14:paraId="6C92310F" w14:textId="77777777" w:rsidR="00680405" w:rsidRDefault="00680405" w:rsidP="00680405">
      <w:pPr>
        <w:numPr>
          <w:ilvl w:val="0"/>
          <w:numId w:val="46"/>
        </w:numPr>
        <w:overflowPunct/>
        <w:autoSpaceDE/>
        <w:autoSpaceDN/>
        <w:adjustRightInd/>
        <w:spacing w:after="120"/>
        <w:textAlignment w:val="auto"/>
      </w:pPr>
      <w:bookmarkStart w:id="13" w:name="_Ref40432065"/>
      <w:r w:rsidRPr="00D525C3">
        <w:t>EU Commission Decision 2006/771/EC</w:t>
      </w:r>
      <w:bookmarkEnd w:id="11"/>
      <w:bookmarkEnd w:id="13"/>
    </w:p>
    <w:p w14:paraId="18A74639" w14:textId="77777777" w:rsidR="009A1370" w:rsidRDefault="009A1370" w:rsidP="009A1370">
      <w:pPr>
        <w:numPr>
          <w:ilvl w:val="0"/>
          <w:numId w:val="46"/>
        </w:numPr>
        <w:overflowPunct/>
        <w:autoSpaceDE/>
        <w:autoSpaceDN/>
        <w:adjustRightInd/>
        <w:spacing w:after="120"/>
        <w:textAlignment w:val="auto"/>
      </w:pPr>
      <w:bookmarkStart w:id="14" w:name="_Ref40428994"/>
      <w:r w:rsidRPr="006D74E6">
        <w:t xml:space="preserve">Draft ETSI EN 303 722 V0.0.3 (2019-12) </w:t>
      </w:r>
      <w:r>
        <w:t>, “</w:t>
      </w:r>
      <w:r w:rsidRPr="00064230">
        <w:t>Wideband Data Transmission System (WDTS) for Fixed Network Radio Equipment operating in the 57 - 71 GHz band</w:t>
      </w:r>
      <w:r>
        <w:t>”</w:t>
      </w:r>
      <w:bookmarkEnd w:id="14"/>
    </w:p>
    <w:p w14:paraId="1EC42BE6" w14:textId="202DF43E" w:rsidR="009A1370" w:rsidRDefault="009A1370" w:rsidP="009A1370">
      <w:pPr>
        <w:numPr>
          <w:ilvl w:val="0"/>
          <w:numId w:val="46"/>
        </w:numPr>
        <w:overflowPunct/>
        <w:autoSpaceDE/>
        <w:autoSpaceDN/>
        <w:adjustRightInd/>
        <w:spacing w:after="120"/>
        <w:textAlignment w:val="auto"/>
      </w:pPr>
      <w:bookmarkStart w:id="15" w:name="_Ref40085734"/>
      <w:bookmarkStart w:id="16" w:name="_Ref40186310"/>
      <w:r w:rsidRPr="00D525C3">
        <w:t xml:space="preserve">ETSI TR 102 555 </w:t>
      </w:r>
      <w:bookmarkEnd w:id="16"/>
      <w:r w:rsidR="00E512C7">
        <w:t>V</w:t>
      </w:r>
      <w:r w:rsidRPr="006D74E6">
        <w:t>1.1.1 (2007-02)</w:t>
      </w:r>
      <w:r>
        <w:t>, “Technical characteristics of multiple gigabit wireless systems in the 60 GHz range”</w:t>
      </w:r>
    </w:p>
    <w:p w14:paraId="7C251D45" w14:textId="05B61563" w:rsidR="009A1370" w:rsidRDefault="00E512C7" w:rsidP="009A1370">
      <w:pPr>
        <w:numPr>
          <w:ilvl w:val="0"/>
          <w:numId w:val="46"/>
        </w:numPr>
        <w:overflowPunct/>
        <w:autoSpaceDE/>
        <w:autoSpaceDN/>
        <w:adjustRightInd/>
        <w:spacing w:after="120"/>
        <w:textAlignment w:val="auto"/>
      </w:pPr>
      <w:bookmarkStart w:id="17" w:name="_Ref40432332"/>
      <w:r>
        <w:t>ETSI TR 103 583 V</w:t>
      </w:r>
      <w:r w:rsidR="009A1370" w:rsidRPr="00D525C3">
        <w:t>1.1.1</w:t>
      </w:r>
      <w:r w:rsidR="009A1370">
        <w:t xml:space="preserve"> </w:t>
      </w:r>
      <w:r w:rsidR="009A1370" w:rsidRPr="006D74E6">
        <w:t>(2019-08)</w:t>
      </w:r>
      <w:r w:rsidR="009A1370">
        <w:t xml:space="preserve"> , “Multiple Gigabit Wireless Systems (MGWS) in radio spectrum between 57 GHz and 71 GHz”</w:t>
      </w:r>
      <w:bookmarkEnd w:id="17"/>
    </w:p>
    <w:p w14:paraId="4B6CCF90" w14:textId="2F8815AA" w:rsidR="009A1370" w:rsidRDefault="009A1370" w:rsidP="009A1370">
      <w:pPr>
        <w:numPr>
          <w:ilvl w:val="0"/>
          <w:numId w:val="46"/>
        </w:numPr>
        <w:overflowPunct/>
        <w:autoSpaceDE/>
        <w:autoSpaceDN/>
        <w:adjustRightInd/>
        <w:spacing w:after="120"/>
        <w:textAlignment w:val="auto"/>
      </w:pPr>
      <w:bookmarkStart w:id="18" w:name="_Ref40432318"/>
      <w:r w:rsidRPr="00B41A5B">
        <w:t>E</w:t>
      </w:r>
      <w:r>
        <w:t xml:space="preserve">TSI EN 305 550 </w:t>
      </w:r>
      <w:bookmarkEnd w:id="15"/>
      <w:r w:rsidRPr="00064230">
        <w:t>V2.1.0 (2017-10)</w:t>
      </w:r>
      <w:r>
        <w:t>, “Short Range Devices (SRD); Radio equipment to be used in the 40 GHz to 246 GHz frequency range”</w:t>
      </w:r>
      <w:bookmarkEnd w:id="18"/>
    </w:p>
    <w:p w14:paraId="50E6BA2B" w14:textId="77777777" w:rsidR="009A1370" w:rsidRDefault="009A1370" w:rsidP="009A1370">
      <w:pPr>
        <w:numPr>
          <w:ilvl w:val="0"/>
          <w:numId w:val="46"/>
        </w:numPr>
        <w:overflowPunct/>
        <w:autoSpaceDE/>
        <w:autoSpaceDN/>
        <w:adjustRightInd/>
        <w:spacing w:after="120"/>
        <w:textAlignment w:val="auto"/>
      </w:pPr>
      <w:bookmarkStart w:id="19" w:name="_Ref40188470"/>
      <w:r w:rsidRPr="006D74E6">
        <w:lastRenderedPageBreak/>
        <w:t>EN 302 729</w:t>
      </w:r>
      <w:r>
        <w:t xml:space="preserve"> </w:t>
      </w:r>
      <w:r w:rsidRPr="00064230">
        <w:t>V2.1.0 (2016-04)</w:t>
      </w:r>
      <w:r>
        <w:t xml:space="preserve">, “Short Range Devices (SRD); Level Probing Radar (LPR) equipment operating in the frequency ranges 6 GHz to 8,5 GHz, 24,05 GHz to 26,5 GHz, 57 GHz to 64 GHz, 75 GHz to 85 GHz”, currently in draft as </w:t>
      </w:r>
      <w:r w:rsidRPr="006D74E6">
        <w:t>Draft ETSI EN</w:t>
      </w:r>
      <w:r>
        <w:t xml:space="preserve"> </w:t>
      </w:r>
      <w:r w:rsidRPr="006D74E6">
        <w:t>302 729</w:t>
      </w:r>
      <w:r>
        <w:t xml:space="preserve">-1 and </w:t>
      </w:r>
      <w:r w:rsidRPr="006D74E6">
        <w:t>Draft ETSI EN</w:t>
      </w:r>
      <w:r>
        <w:t xml:space="preserve"> </w:t>
      </w:r>
      <w:r w:rsidRPr="006D74E6">
        <w:t>302 729</w:t>
      </w:r>
      <w:r>
        <w:t>-2</w:t>
      </w:r>
      <w:bookmarkEnd w:id="19"/>
    </w:p>
    <w:p w14:paraId="05FB9100" w14:textId="18419233" w:rsidR="00331A73" w:rsidRDefault="00331A73" w:rsidP="00331A73">
      <w:pPr>
        <w:numPr>
          <w:ilvl w:val="0"/>
          <w:numId w:val="46"/>
        </w:numPr>
        <w:overflowPunct/>
        <w:autoSpaceDE/>
        <w:autoSpaceDN/>
        <w:adjustRightInd/>
        <w:spacing w:after="120"/>
        <w:textAlignment w:val="auto"/>
      </w:pPr>
      <w:bookmarkStart w:id="20" w:name="_Ref40462045"/>
      <w:r w:rsidRPr="00331A73">
        <w:t>FCC 47CFR 15.255: Code of Federal Regulations Title 47 part 15 - radio frequency devices (RF exposure requirements: 47CFR 1.1310, 2.1091, 2.1093).</w:t>
      </w:r>
      <w:bookmarkEnd w:id="20"/>
    </w:p>
    <w:p w14:paraId="6E7DDA4F" w14:textId="77777777" w:rsidR="00680405" w:rsidRDefault="00680405" w:rsidP="00680405">
      <w:pPr>
        <w:numPr>
          <w:ilvl w:val="0"/>
          <w:numId w:val="46"/>
        </w:numPr>
        <w:overflowPunct/>
        <w:autoSpaceDE/>
        <w:autoSpaceDN/>
        <w:adjustRightInd/>
        <w:spacing w:after="120"/>
        <w:textAlignment w:val="auto"/>
      </w:pPr>
      <w:r w:rsidRPr="00D525C3">
        <w:t>EC Report 288</w:t>
      </w:r>
    </w:p>
    <w:p w14:paraId="48BF7BAA" w14:textId="79F56BC2" w:rsidR="00174A3E" w:rsidRDefault="00174A3E" w:rsidP="00174A3E">
      <w:pPr>
        <w:numPr>
          <w:ilvl w:val="0"/>
          <w:numId w:val="46"/>
        </w:numPr>
        <w:overflowPunct/>
        <w:autoSpaceDE/>
        <w:autoSpaceDN/>
        <w:adjustRightInd/>
        <w:spacing w:after="120"/>
        <w:textAlignment w:val="auto"/>
      </w:pPr>
      <w:bookmarkStart w:id="21" w:name="_Ref40110023"/>
      <w:bookmarkEnd w:id="10"/>
      <w:r w:rsidRPr="00174A3E">
        <w:t>3GPP TR 38.807 V16.0.0 (2019-12)</w:t>
      </w:r>
      <w:r>
        <w:t>, “Study on requirements for NR beyond 52.6 GHz”</w:t>
      </w:r>
      <w:bookmarkEnd w:id="21"/>
    </w:p>
    <w:p w14:paraId="0D4988CF" w14:textId="5733E145" w:rsidR="00174A3E" w:rsidRDefault="00174A3E" w:rsidP="00174A3E">
      <w:pPr>
        <w:numPr>
          <w:ilvl w:val="0"/>
          <w:numId w:val="46"/>
        </w:numPr>
        <w:overflowPunct/>
        <w:autoSpaceDE/>
        <w:autoSpaceDN/>
        <w:adjustRightInd/>
        <w:spacing w:after="120"/>
        <w:textAlignment w:val="auto"/>
      </w:pPr>
      <w:bookmarkStart w:id="22" w:name="_Ref40110016"/>
      <w:r w:rsidRPr="00174A3E">
        <w:t>3GPP TR 38.900 V15.0.0 (2018-06)</w:t>
      </w:r>
      <w:r>
        <w:t>, “</w:t>
      </w:r>
      <w:r w:rsidRPr="00174A3E">
        <w:t>Study on channel model for frequency spectrum above 6 GHz</w:t>
      </w:r>
      <w:r>
        <w:t>”</w:t>
      </w:r>
      <w:bookmarkEnd w:id="22"/>
    </w:p>
    <w:p w14:paraId="572311D2" w14:textId="1BAD242F" w:rsidR="00F36316" w:rsidRDefault="00F36316" w:rsidP="00F36316">
      <w:pPr>
        <w:numPr>
          <w:ilvl w:val="0"/>
          <w:numId w:val="46"/>
        </w:numPr>
        <w:overflowPunct/>
        <w:autoSpaceDE/>
        <w:autoSpaceDN/>
        <w:adjustRightInd/>
        <w:spacing w:after="120"/>
        <w:textAlignment w:val="auto"/>
      </w:pPr>
      <w:bookmarkStart w:id="23" w:name="_Ref40109973"/>
      <w:r w:rsidRPr="00F36316">
        <w:t>3GPP TR 38.913 V15.0.0 (2018-06)</w:t>
      </w:r>
      <w:r>
        <w:t>, “Study on Scenarios and Requirements for Next Generation Access Technologies”</w:t>
      </w:r>
      <w:bookmarkEnd w:id="23"/>
    </w:p>
    <w:p w14:paraId="47B038C5" w14:textId="116BD8AB" w:rsidR="00D525C3" w:rsidRDefault="00C17E06" w:rsidP="00557A25">
      <w:pPr>
        <w:numPr>
          <w:ilvl w:val="0"/>
          <w:numId w:val="46"/>
        </w:numPr>
        <w:overflowPunct/>
        <w:autoSpaceDE/>
        <w:autoSpaceDN/>
        <w:adjustRightInd/>
        <w:spacing w:after="120"/>
        <w:textAlignment w:val="auto"/>
      </w:pPr>
      <w:bookmarkStart w:id="24" w:name="_Ref40442394"/>
      <w:r w:rsidRPr="00C17E06">
        <w:t>3GPP TR 38.805 V14.0.0 (2017-03)</w:t>
      </w:r>
      <w:r>
        <w:t>, “Study on New Radio access technology; 60 GHz unlicensed spectrum”</w:t>
      </w:r>
      <w:bookmarkEnd w:id="24"/>
    </w:p>
    <w:p w14:paraId="7163C7D9" w14:textId="07E37BEB" w:rsidR="00472FE3" w:rsidRDefault="00472FE3" w:rsidP="00E512C7">
      <w:pPr>
        <w:numPr>
          <w:ilvl w:val="0"/>
          <w:numId w:val="46"/>
        </w:numPr>
        <w:overflowPunct/>
        <w:autoSpaceDE/>
        <w:autoSpaceDN/>
        <w:adjustRightInd/>
        <w:spacing w:after="120"/>
        <w:textAlignment w:val="auto"/>
      </w:pPr>
      <w:bookmarkStart w:id="25" w:name="_Ref40449616"/>
      <w:r>
        <w:t xml:space="preserve">3GPP </w:t>
      </w:r>
      <w:r w:rsidRPr="00472FE3">
        <w:t>TR</w:t>
      </w:r>
      <w:r>
        <w:t xml:space="preserve"> </w:t>
      </w:r>
      <w:r w:rsidRPr="00472FE3">
        <w:t>36.814</w:t>
      </w:r>
      <w:bookmarkEnd w:id="25"/>
      <w:r w:rsidR="00E512C7" w:rsidRPr="00E512C7">
        <w:t xml:space="preserve"> V9.2.0 (2017-03)</w:t>
      </w:r>
      <w:r w:rsidR="00E512C7">
        <w:t>, “</w:t>
      </w:r>
      <w:r w:rsidR="00E512C7">
        <w:t>Further advancements for E-UTRA physical layer aspects</w:t>
      </w:r>
      <w:r w:rsidR="00E512C7">
        <w:t>”</w:t>
      </w:r>
    </w:p>
    <w:p w14:paraId="0FE0B251" w14:textId="45334AEA" w:rsidR="00472FE3" w:rsidRPr="00DF5F91" w:rsidRDefault="00472FE3" w:rsidP="00E512C7">
      <w:pPr>
        <w:numPr>
          <w:ilvl w:val="0"/>
          <w:numId w:val="46"/>
        </w:numPr>
        <w:overflowPunct/>
        <w:autoSpaceDE/>
        <w:autoSpaceDN/>
        <w:adjustRightInd/>
        <w:spacing w:after="120"/>
        <w:textAlignment w:val="auto"/>
      </w:pPr>
      <w:bookmarkStart w:id="26" w:name="_Ref40449714"/>
      <w:r>
        <w:t xml:space="preserve">3GPP </w:t>
      </w:r>
      <w:r w:rsidRPr="00472FE3">
        <w:t>TR</w:t>
      </w:r>
      <w:r>
        <w:t xml:space="preserve"> </w:t>
      </w:r>
      <w:r w:rsidR="00247160">
        <w:t>36.88</w:t>
      </w:r>
      <w:r w:rsidRPr="00472FE3">
        <w:t>9</w:t>
      </w:r>
      <w:bookmarkEnd w:id="26"/>
      <w:r w:rsidR="00E512C7">
        <w:t xml:space="preserve"> </w:t>
      </w:r>
      <w:r w:rsidR="00E512C7" w:rsidRPr="00E512C7">
        <w:t>V13.0.0 (2015-06)</w:t>
      </w:r>
      <w:r w:rsidR="00E512C7">
        <w:t>, “</w:t>
      </w:r>
      <w:r w:rsidR="00E512C7" w:rsidRPr="00E512C7">
        <w:t>Study on Licensed-Assisted Access to Unlicensed Spectrum</w:t>
      </w:r>
      <w:r w:rsidR="00E512C7">
        <w:t>”</w:t>
      </w:r>
    </w:p>
    <w:sectPr w:rsidR="00472FE3" w:rsidRPr="00DF5F91"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3563E" w14:textId="77777777" w:rsidR="009B3D76" w:rsidRDefault="009B3D76">
      <w:r>
        <w:separator/>
      </w:r>
    </w:p>
  </w:endnote>
  <w:endnote w:type="continuationSeparator" w:id="0">
    <w:p w14:paraId="3F6EDBFA" w14:textId="77777777" w:rsidR="009B3D76" w:rsidRDefault="009B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335531" w:rsidRDefault="00335531">
        <w:pPr>
          <w:pStyle w:val="Footer"/>
        </w:pPr>
        <w:r>
          <w:rPr>
            <w:noProof w:val="0"/>
          </w:rPr>
          <w:fldChar w:fldCharType="begin"/>
        </w:r>
        <w:r>
          <w:instrText xml:space="preserve"> PAGE   \* MERGEFORMAT </w:instrText>
        </w:r>
        <w:r>
          <w:rPr>
            <w:noProof w:val="0"/>
          </w:rPr>
          <w:fldChar w:fldCharType="separate"/>
        </w:r>
        <w:r w:rsidR="001F25CF">
          <w:t>5</w:t>
        </w:r>
        <w:r>
          <w:fldChar w:fldCharType="end"/>
        </w:r>
      </w:p>
    </w:sdtContent>
  </w:sdt>
  <w:p w14:paraId="28107820" w14:textId="77777777" w:rsidR="00335531" w:rsidRDefault="003355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018CF" w14:textId="77777777" w:rsidR="009B3D76" w:rsidRDefault="009B3D76">
      <w:r>
        <w:separator/>
      </w:r>
    </w:p>
  </w:footnote>
  <w:footnote w:type="continuationSeparator" w:id="0">
    <w:p w14:paraId="64E4462B" w14:textId="77777777" w:rsidR="009B3D76" w:rsidRDefault="009B3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92F0E26"/>
    <w:multiLevelType w:val="hybridMultilevel"/>
    <w:tmpl w:val="E61A2E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nsid w:val="0D0816A2"/>
    <w:multiLevelType w:val="hybridMultilevel"/>
    <w:tmpl w:val="0916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nsid w:val="0D3965C9"/>
    <w:multiLevelType w:val="hybridMultilevel"/>
    <w:tmpl w:val="5F407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FA41C0"/>
    <w:multiLevelType w:val="hybridMultilevel"/>
    <w:tmpl w:val="57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D53310"/>
    <w:multiLevelType w:val="hybridMultilevel"/>
    <w:tmpl w:val="3868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5E13D5"/>
    <w:multiLevelType w:val="hybridMultilevel"/>
    <w:tmpl w:val="57281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9306EEA"/>
    <w:multiLevelType w:val="hybridMultilevel"/>
    <w:tmpl w:val="ADCC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E0841B4"/>
    <w:multiLevelType w:val="hybridMultilevel"/>
    <w:tmpl w:val="BA18DD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22B169A"/>
    <w:multiLevelType w:val="hybridMultilevel"/>
    <w:tmpl w:val="4896FE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10D5D27"/>
    <w:multiLevelType w:val="hybridMultilevel"/>
    <w:tmpl w:val="003C733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7647AB1"/>
    <w:multiLevelType w:val="hybridMultilevel"/>
    <w:tmpl w:val="49941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F91308"/>
    <w:multiLevelType w:val="multilevel"/>
    <w:tmpl w:val="49F91308"/>
    <w:lvl w:ilvl="0">
      <w:numFmt w:val="bullet"/>
      <w:lvlText w:val="-"/>
      <w:lvlJc w:val="left"/>
      <w:pPr>
        <w:ind w:left="465" w:hanging="360"/>
      </w:pPr>
      <w:rPr>
        <w:rFonts w:ascii="Times New Roman" w:eastAsia="Malgun Gothic"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34">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5">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4021B51"/>
    <w:multiLevelType w:val="hybridMultilevel"/>
    <w:tmpl w:val="3136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C424EA"/>
    <w:multiLevelType w:val="hybridMultilevel"/>
    <w:tmpl w:val="B9F6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A73DC"/>
    <w:multiLevelType w:val="hybridMultilevel"/>
    <w:tmpl w:val="2BE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2639C1"/>
    <w:multiLevelType w:val="hybridMultilevel"/>
    <w:tmpl w:val="E260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7D527D"/>
    <w:multiLevelType w:val="hybridMultilevel"/>
    <w:tmpl w:val="72605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BE6976"/>
    <w:multiLevelType w:val="hybridMultilevel"/>
    <w:tmpl w:val="53241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4D323B"/>
    <w:multiLevelType w:val="hybridMultilevel"/>
    <w:tmpl w:val="677EBE24"/>
    <w:lvl w:ilvl="0" w:tplc="01FC946A">
      <w:start w:val="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1"/>
  </w:num>
  <w:num w:numId="2">
    <w:abstractNumId w:val="9"/>
  </w:num>
  <w:num w:numId="3">
    <w:abstractNumId w:val="43"/>
  </w:num>
  <w:num w:numId="4">
    <w:abstractNumId w:val="47"/>
  </w:num>
  <w:num w:numId="5">
    <w:abstractNumId w:val="4"/>
  </w:num>
  <w:num w:numId="6">
    <w:abstractNumId w:val="30"/>
  </w:num>
  <w:num w:numId="7">
    <w:abstractNumId w:val="35"/>
  </w:num>
  <w:num w:numId="8">
    <w:abstractNumId w:val="5"/>
  </w:num>
  <w:num w:numId="9">
    <w:abstractNumId w:val="16"/>
  </w:num>
  <w:num w:numId="10">
    <w:abstractNumId w:val="27"/>
  </w:num>
  <w:num w:numId="11">
    <w:abstractNumId w:val="23"/>
  </w:num>
  <w:num w:numId="12">
    <w:abstractNumId w:val="39"/>
  </w:num>
  <w:num w:numId="13">
    <w:abstractNumId w:val="22"/>
  </w:num>
  <w:num w:numId="14">
    <w:abstractNumId w:val="18"/>
  </w:num>
  <w:num w:numId="15">
    <w:abstractNumId w:val="7"/>
  </w:num>
  <w:num w:numId="16">
    <w:abstractNumId w:val="46"/>
  </w:num>
  <w:num w:numId="17">
    <w:abstractNumId w:val="25"/>
  </w:num>
  <w:num w:numId="18">
    <w:abstractNumId w:val="33"/>
  </w:num>
  <w:num w:numId="19">
    <w:abstractNumId w:val="42"/>
  </w:num>
  <w:num w:numId="20">
    <w:abstractNumId w:val="34"/>
  </w:num>
  <w:num w:numId="21">
    <w:abstractNumId w:val="3"/>
  </w:num>
  <w:num w:numId="22">
    <w:abstractNumId w:val="41"/>
  </w:num>
  <w:num w:numId="23">
    <w:abstractNumId w:val="32"/>
  </w:num>
  <w:num w:numId="24">
    <w:abstractNumId w:val="21"/>
  </w:num>
  <w:num w:numId="25">
    <w:abstractNumId w:val="44"/>
  </w:num>
  <w:num w:numId="26">
    <w:abstractNumId w:val="20"/>
  </w:num>
  <w:num w:numId="27">
    <w:abstractNumId w:val="14"/>
  </w:num>
  <w:num w:numId="28">
    <w:abstractNumId w:val="36"/>
  </w:num>
  <w:num w:numId="29">
    <w:abstractNumId w:val="28"/>
  </w:num>
  <w:num w:numId="30">
    <w:abstractNumId w:val="2"/>
  </w:num>
  <w:num w:numId="31">
    <w:abstractNumId w:val="26"/>
  </w:num>
  <w:num w:numId="32">
    <w:abstractNumId w:val="17"/>
  </w:num>
  <w:num w:numId="33">
    <w:abstractNumId w:val="8"/>
  </w:num>
  <w:num w:numId="34">
    <w:abstractNumId w:val="19"/>
  </w:num>
  <w:num w:numId="35">
    <w:abstractNumId w:val="0"/>
  </w:num>
  <w:num w:numId="36">
    <w:abstractNumId w:val="40"/>
  </w:num>
  <w:num w:numId="37">
    <w:abstractNumId w:val="6"/>
  </w:num>
  <w:num w:numId="38">
    <w:abstractNumId w:val="15"/>
  </w:num>
  <w:num w:numId="39">
    <w:abstractNumId w:val="29"/>
  </w:num>
  <w:num w:numId="40">
    <w:abstractNumId w:val="31"/>
  </w:num>
  <w:num w:numId="41">
    <w:abstractNumId w:val="13"/>
  </w:num>
  <w:num w:numId="42">
    <w:abstractNumId w:val="10"/>
  </w:num>
  <w:num w:numId="43">
    <w:abstractNumId w:val="45"/>
  </w:num>
  <w:num w:numId="44">
    <w:abstractNumId w:val="38"/>
  </w:num>
  <w:num w:numId="45">
    <w:abstractNumId w:val="37"/>
  </w:num>
  <w:num w:numId="46">
    <w:abstractNumId w:val="24"/>
  </w:num>
  <w:num w:numId="47">
    <w:abstractNumId w:val="1"/>
  </w:num>
  <w:num w:numId="48">
    <w:abstractNumId w:val="23"/>
  </w:num>
  <w:num w:numId="49">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4C9"/>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6AD"/>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70E"/>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6B3"/>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230"/>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0FD"/>
    <w:rsid w:val="00091265"/>
    <w:rsid w:val="00091406"/>
    <w:rsid w:val="000915BB"/>
    <w:rsid w:val="00091874"/>
    <w:rsid w:val="00091ABA"/>
    <w:rsid w:val="00091CDD"/>
    <w:rsid w:val="00091F2A"/>
    <w:rsid w:val="00092250"/>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57"/>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A66"/>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29B"/>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BF3"/>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A3E"/>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3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4DA8"/>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C17"/>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5CF"/>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991"/>
    <w:rsid w:val="00214C93"/>
    <w:rsid w:val="00214E65"/>
    <w:rsid w:val="00214F39"/>
    <w:rsid w:val="0021539D"/>
    <w:rsid w:val="00215A0A"/>
    <w:rsid w:val="00215A14"/>
    <w:rsid w:val="00215B16"/>
    <w:rsid w:val="00216915"/>
    <w:rsid w:val="00216DA6"/>
    <w:rsid w:val="00216DEC"/>
    <w:rsid w:val="00216FD5"/>
    <w:rsid w:val="00217097"/>
    <w:rsid w:val="002170DA"/>
    <w:rsid w:val="002177B7"/>
    <w:rsid w:val="00217874"/>
    <w:rsid w:val="002179C6"/>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A0"/>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160"/>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3F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08D"/>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5FB0"/>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A73"/>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531"/>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17"/>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77"/>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8E"/>
    <w:rsid w:val="0039659D"/>
    <w:rsid w:val="00396831"/>
    <w:rsid w:val="003968E4"/>
    <w:rsid w:val="00396BC4"/>
    <w:rsid w:val="00396DD9"/>
    <w:rsid w:val="003A0084"/>
    <w:rsid w:val="003A09F1"/>
    <w:rsid w:val="003A0D45"/>
    <w:rsid w:val="003A0DD3"/>
    <w:rsid w:val="003A0F7C"/>
    <w:rsid w:val="003A135C"/>
    <w:rsid w:val="003A1364"/>
    <w:rsid w:val="003A14BF"/>
    <w:rsid w:val="003A16E6"/>
    <w:rsid w:val="003A198C"/>
    <w:rsid w:val="003A1F51"/>
    <w:rsid w:val="003A241A"/>
    <w:rsid w:val="003A2A15"/>
    <w:rsid w:val="003A2A92"/>
    <w:rsid w:val="003A2A93"/>
    <w:rsid w:val="003A2B44"/>
    <w:rsid w:val="003A2E9C"/>
    <w:rsid w:val="003A2EA1"/>
    <w:rsid w:val="003A37B8"/>
    <w:rsid w:val="003A38B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BBF"/>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A72"/>
    <w:rsid w:val="003F1AB8"/>
    <w:rsid w:val="003F1B7A"/>
    <w:rsid w:val="003F1C41"/>
    <w:rsid w:val="003F1DA4"/>
    <w:rsid w:val="003F1E9E"/>
    <w:rsid w:val="003F2003"/>
    <w:rsid w:val="003F21A6"/>
    <w:rsid w:val="003F229B"/>
    <w:rsid w:val="003F2306"/>
    <w:rsid w:val="003F2374"/>
    <w:rsid w:val="003F23FA"/>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94F"/>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2FE3"/>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9EA"/>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79B"/>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A78"/>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61"/>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B33"/>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94E"/>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922"/>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D3F"/>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71A"/>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566"/>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41B"/>
    <w:rsid w:val="00660463"/>
    <w:rsid w:val="006605D6"/>
    <w:rsid w:val="0066083F"/>
    <w:rsid w:val="00660ADF"/>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05"/>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0F9"/>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4E6"/>
    <w:rsid w:val="006D7687"/>
    <w:rsid w:val="006D7A91"/>
    <w:rsid w:val="006D7E9A"/>
    <w:rsid w:val="006D7F3A"/>
    <w:rsid w:val="006E02DF"/>
    <w:rsid w:val="006E04D4"/>
    <w:rsid w:val="006E0699"/>
    <w:rsid w:val="006E0979"/>
    <w:rsid w:val="006E09F2"/>
    <w:rsid w:val="006E0A36"/>
    <w:rsid w:val="006E0B67"/>
    <w:rsid w:val="006E0CB0"/>
    <w:rsid w:val="006E0D9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6B5C"/>
    <w:rsid w:val="006E7269"/>
    <w:rsid w:val="006E726E"/>
    <w:rsid w:val="006E7432"/>
    <w:rsid w:val="006E754C"/>
    <w:rsid w:val="006E7568"/>
    <w:rsid w:val="006E7631"/>
    <w:rsid w:val="006E779C"/>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948"/>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431"/>
    <w:rsid w:val="00803820"/>
    <w:rsid w:val="00803910"/>
    <w:rsid w:val="00803C77"/>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380"/>
    <w:rsid w:val="0084540A"/>
    <w:rsid w:val="00845E0F"/>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DF1"/>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0F4C"/>
    <w:rsid w:val="008A10F1"/>
    <w:rsid w:val="008A11EC"/>
    <w:rsid w:val="008A150D"/>
    <w:rsid w:val="008A1542"/>
    <w:rsid w:val="008A1B5F"/>
    <w:rsid w:val="008A1C5D"/>
    <w:rsid w:val="008A20C3"/>
    <w:rsid w:val="008A2100"/>
    <w:rsid w:val="008A23C2"/>
    <w:rsid w:val="008A23D3"/>
    <w:rsid w:val="008A2B32"/>
    <w:rsid w:val="008A3158"/>
    <w:rsid w:val="008A389E"/>
    <w:rsid w:val="008A4042"/>
    <w:rsid w:val="008A49CE"/>
    <w:rsid w:val="008A49E1"/>
    <w:rsid w:val="008A4B74"/>
    <w:rsid w:val="008A4B75"/>
    <w:rsid w:val="008A4D5E"/>
    <w:rsid w:val="008A4DBD"/>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009"/>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32F"/>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6FD8"/>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7AF"/>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370"/>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3D76"/>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6D"/>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3CB"/>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6CD0"/>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DF7"/>
    <w:rsid w:val="00A35F08"/>
    <w:rsid w:val="00A36038"/>
    <w:rsid w:val="00A360F7"/>
    <w:rsid w:val="00A362C2"/>
    <w:rsid w:val="00A36397"/>
    <w:rsid w:val="00A365A2"/>
    <w:rsid w:val="00A36AD1"/>
    <w:rsid w:val="00A36D25"/>
    <w:rsid w:val="00A36EF0"/>
    <w:rsid w:val="00A376FA"/>
    <w:rsid w:val="00A37D6A"/>
    <w:rsid w:val="00A37E78"/>
    <w:rsid w:val="00A401BB"/>
    <w:rsid w:val="00A402CF"/>
    <w:rsid w:val="00A4030B"/>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20"/>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DA8"/>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A5B"/>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179"/>
    <w:rsid w:val="00B832C6"/>
    <w:rsid w:val="00B83418"/>
    <w:rsid w:val="00B83474"/>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1A"/>
    <w:rsid w:val="00BE6F8C"/>
    <w:rsid w:val="00BE7205"/>
    <w:rsid w:val="00BE7300"/>
    <w:rsid w:val="00BE7350"/>
    <w:rsid w:val="00BE75EA"/>
    <w:rsid w:val="00BE773C"/>
    <w:rsid w:val="00BE77A9"/>
    <w:rsid w:val="00BE77DC"/>
    <w:rsid w:val="00BE789D"/>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17E06"/>
    <w:rsid w:val="00C20137"/>
    <w:rsid w:val="00C20182"/>
    <w:rsid w:val="00C2030D"/>
    <w:rsid w:val="00C206CB"/>
    <w:rsid w:val="00C20848"/>
    <w:rsid w:val="00C209D3"/>
    <w:rsid w:val="00C20B17"/>
    <w:rsid w:val="00C20DE0"/>
    <w:rsid w:val="00C20F4E"/>
    <w:rsid w:val="00C21075"/>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4F5"/>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DDA"/>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9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475"/>
    <w:rsid w:val="00C764D9"/>
    <w:rsid w:val="00C766FA"/>
    <w:rsid w:val="00C76851"/>
    <w:rsid w:val="00C76A14"/>
    <w:rsid w:val="00C76DC3"/>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ADF"/>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9E"/>
    <w:rsid w:val="00CB081E"/>
    <w:rsid w:val="00CB094A"/>
    <w:rsid w:val="00CB0DA7"/>
    <w:rsid w:val="00CB0F08"/>
    <w:rsid w:val="00CB0F3A"/>
    <w:rsid w:val="00CB11E0"/>
    <w:rsid w:val="00CB13A4"/>
    <w:rsid w:val="00CB1442"/>
    <w:rsid w:val="00CB155F"/>
    <w:rsid w:val="00CB1700"/>
    <w:rsid w:val="00CB174A"/>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9BA"/>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89C"/>
    <w:rsid w:val="00CD592C"/>
    <w:rsid w:val="00CD5D49"/>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B2E"/>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B7F"/>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5C3"/>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429"/>
    <w:rsid w:val="00D97D48"/>
    <w:rsid w:val="00D97E6C"/>
    <w:rsid w:val="00DA050B"/>
    <w:rsid w:val="00DA0C62"/>
    <w:rsid w:val="00DA0C63"/>
    <w:rsid w:val="00DA1219"/>
    <w:rsid w:val="00DA128C"/>
    <w:rsid w:val="00DA13AD"/>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3C39"/>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2EB8"/>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6F3"/>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98B"/>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60"/>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002"/>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31"/>
    <w:rsid w:val="00E10F6B"/>
    <w:rsid w:val="00E10FD6"/>
    <w:rsid w:val="00E11425"/>
    <w:rsid w:val="00E1181D"/>
    <w:rsid w:val="00E119DC"/>
    <w:rsid w:val="00E11DCD"/>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873"/>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2C7"/>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6E80"/>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8BA"/>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7B2"/>
    <w:rsid w:val="00E83932"/>
    <w:rsid w:val="00E84310"/>
    <w:rsid w:val="00E84C9D"/>
    <w:rsid w:val="00E84CDE"/>
    <w:rsid w:val="00E84FD2"/>
    <w:rsid w:val="00E85006"/>
    <w:rsid w:val="00E8504F"/>
    <w:rsid w:val="00E85299"/>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8C2"/>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1F1C"/>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8B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19A"/>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316"/>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942"/>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4B8"/>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uiPriority w:val="99"/>
    <w:qFormat/>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uiPriority w:val="99"/>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5717471">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3.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B6EF2E59-2972-4366-9415-AD4C3054F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5</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On Channel Access Procedure</vt:lpstr>
    </vt:vector>
  </TitlesOfParts>
  <Company>MediaTek Inc.</Company>
  <LinksUpToDate>false</LinksUpToDate>
  <CharactersWithSpaces>15399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Channel Access Procedure</dc:title>
  <dc:subject/>
  <dc:creator>MediaTek Inc.</dc:creator>
  <cp:keywords/>
  <cp:lastModifiedBy>Timothy Fisher-Jeffes</cp:lastModifiedBy>
  <cp:revision>9</cp:revision>
  <cp:lastPrinted>2017-10-02T09:51:00Z</cp:lastPrinted>
  <dcterms:created xsi:type="dcterms:W3CDTF">2020-05-15T13:52:00Z</dcterms:created>
  <dcterms:modified xsi:type="dcterms:W3CDTF">2020-05-15T23:07:00Z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